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4.xml" ContentType="application/vnd.openxmlformats-officedocument.themeOverrid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spacing w:beforeLines="100" w:afterLines="100" w:line="440" w:lineRule="exact"/>
        <w:ind w:right="-42" w:rightChars="-20"/>
        <w:outlineLvl w:val="0"/>
        <w:rPr>
          <w:rFonts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</w:pPr>
      <w:r>
        <w:rPr>
          <w:rFonts w:hint="eastAsia" w:ascii="方正仿宋_GBK" w:hAnsi="方正仿宋_GBK" w:eastAsia="方正仿宋_GBK" w:cs="方正仿宋_GBK"/>
          <w:b/>
          <w:kern w:val="0"/>
          <w:sz w:val="24"/>
          <w:szCs w:val="24"/>
        </w:rPr>
        <w:t xml:space="preserve"> </w:t>
      </w:r>
      <w:r>
        <w:rPr>
          <w:rFonts w:hint="eastAsia" w:ascii="方正黑体简体" w:hAnsi="方正黑体简体" w:eastAsia="方正黑体简体" w:cs="方正黑体简体"/>
          <w:color w:val="FFFFFF"/>
          <w:sz w:val="32"/>
        </w:rPr>
        <w:t>总体规模</w:t>
      </w:r>
      <w:r>
        <w:rPr>
          <w:rFonts w:hint="eastAsia" w:ascii="方正仿宋_GBK" w:hAnsi="方正仿宋_GBK" w:eastAsia="方正仿宋_GBK" w:cs="方正仿宋_GBK"/>
          <w:b/>
          <w:kern w:val="0"/>
          <w:sz w:val="24"/>
          <w:szCs w:val="24"/>
        </w:rPr>
        <w:t xml:space="preserve">                    </w:t>
      </w:r>
      <w:bookmarkStart w:id="0" w:name="_Toc7379"/>
      <w:bookmarkStart w:id="1" w:name="_Toc10789"/>
      <w:bookmarkStart w:id="2" w:name="_Toc1863"/>
      <w:bookmarkStart w:id="3" w:name="_Toc15951"/>
      <w:r>
        <w:rPr>
          <w:color w:val="FFFFFF"/>
          <w:sz w:val="32"/>
        </w:rPr>
        <w:pict>
          <v:shape id="_x0000_s1026" o:spid="_x0000_s1026" o:spt="116" type="#_x0000_t116" style="position:absolute;left:0pt;margin-left:-10.3pt;margin-top:15.85pt;height:24.25pt;width:121.85pt;z-index:-251648000;mso-width-relative:page;mso-height-relative:page;" fillcolor="#007CC3" filled="t" stroked="f" coordsize="21600,21600" o:gfxdata="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gWh1r2AAAAAkBAAAPAAAAAAAAAAEAIAAAACIA&#10;AABkcnMvZG93bnJldi54bWxQSwECFAAUAAAACACHTuJARI9yf0ICAABNBAAADgAAAAAAAAABACAA&#10;AAAnAQAAZHJzL2Uyb0RvYy54bWxQSwUGAAAAAAYABgBZAQAA2wUAAAAA&#10;">
            <v:path/>
            <v:fill on="t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  <w:t>总体规模</w:t>
      </w:r>
      <w:bookmarkEnd w:id="0"/>
      <w:bookmarkEnd w:id="1"/>
      <w:bookmarkEnd w:id="2"/>
      <w:bookmarkEnd w:id="3"/>
    </w:p>
    <w:p>
      <w:pPr>
        <w:spacing w:line="360" w:lineRule="auto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共计3274人，较上一年度减少72人。</w:t>
      </w:r>
    </w:p>
    <w:p>
      <w:pPr>
        <w:spacing w:line="360" w:lineRule="auto"/>
        <w:rPr>
          <w:rFonts w:ascii="宋体" w:hAnsi="宋体"/>
          <w:sz w:val="24"/>
          <w:szCs w:val="28"/>
        </w:rPr>
      </w:pPr>
      <w:r>
        <w:drawing>
          <wp:inline distT="0" distB="0" distL="0" distR="0">
            <wp:extent cx="4572000" cy="2743200"/>
            <wp:effectExtent l="0" t="0" r="0" b="0"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bookmarkStart w:id="77" w:name="_GoBack"/>
      <w:bookmarkEnd w:id="77"/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numPr>
          <w:ilvl w:val="0"/>
          <w:numId w:val="1"/>
        </w:numPr>
        <w:spacing w:beforeLines="100" w:afterLines="100" w:line="440" w:lineRule="exact"/>
        <w:ind w:right="-42" w:rightChars="-20"/>
        <w:outlineLvl w:val="0"/>
        <w:rPr>
          <w:rFonts w:ascii="方正黑体简体" w:hAnsi="方正黑体简体" w:eastAsia="方正黑体简体" w:cs="方正黑体简体"/>
          <w:color w:val="FFFFFF"/>
          <w:sz w:val="32"/>
        </w:rPr>
      </w:pPr>
      <w:bookmarkStart w:id="4" w:name="_Toc6688"/>
      <w:bookmarkStart w:id="5" w:name="_Toc11543"/>
      <w:bookmarkStart w:id="6" w:name="_Toc18979"/>
      <w:bookmarkStart w:id="7" w:name="_Toc22595"/>
      <w:r>
        <w:rPr>
          <w:rFonts w:ascii="方正黑体简体" w:hAnsi="方正黑体简体" w:eastAsia="方正黑体简体" w:cs="方正黑体简体"/>
          <w:color w:val="FFFFFF"/>
          <w:sz w:val="32"/>
        </w:rPr>
        <w:pict>
          <v:shape id="_x0000_s1034" o:spid="_x0000_s1034" o:spt="116" type="#_x0000_t116" style="position:absolute;left:0pt;margin-left:-12.45pt;margin-top:15.9pt;height:24.25pt;width:121.85pt;z-index:-251653120;mso-width-relative:page;mso-height-relative:page;" fillcolor="#007CC3" filled="t" stroked="f" coordsize="21600,21600" o:gfxdata="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vGuynYAAAACQEAAA8AAAAAAAAAAQAgAAAAIgAA&#10;AGRycy9kb3ducmV2LnhtbFBLAQIUABQAAAAIAIdO4kAhLxUKQQIAAEsEAAAOAAAAAAAAAAEAIAAA&#10;ACcBAABkcnMvZTJvRG9jLnhtbFBLBQYAAAAABgAGAFkBAADaBQAAAAA=&#10;">
            <v:path/>
            <v:fill on="t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方正黑体简体" w:hAnsi="方正黑体简体" w:eastAsia="方正黑体简体" w:cs="方正黑体简体"/>
          <w:color w:val="FFFFFF"/>
          <w:sz w:val="32"/>
        </w:rPr>
        <w:t>性别构成</w:t>
      </w:r>
      <w:bookmarkEnd w:id="4"/>
      <w:bookmarkEnd w:id="5"/>
      <w:bookmarkEnd w:id="6"/>
      <w:bookmarkEnd w:id="7"/>
    </w:p>
    <w:p>
      <w:pPr>
        <w:spacing w:line="360" w:lineRule="auto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男生591人，占毕业生总数的18.05%；女生2683人，占毕业生总数的81.95%。</w:t>
      </w:r>
    </w:p>
    <w:p>
      <w:pPr>
        <w:spacing w:line="360" w:lineRule="auto"/>
        <w:rPr>
          <w:rFonts w:ascii="宋体" w:hAnsi="宋体"/>
          <w:sz w:val="24"/>
          <w:szCs w:val="28"/>
        </w:rPr>
      </w:pPr>
      <w:r>
        <w:pict>
          <v:shape id="文本框 1" o:spid="_x0000_s1033" o:spt="202" type="#_x0000_t202" style="position:absolute;left:0pt;margin-left:206.5pt;margin-top:35.8pt;height:49pt;width:135.5pt;z-index:251670528;v-text-anchor:middle;mso-width-relative:page;mso-height-relative:page;" fillcolor="#FFFFFF" filled="t" stroked="t" coordsize="21600,21600" o:gfxdata="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ic5OntsAAAAK&#10;AQAADwAAAAAAAAABACAAAAAiAAAAZHJzL2Rvd25yZXYueG1sUEsBAhQAFAAAAAgAh07iQEzxM2EZ&#10;AgAAQAQAAA4AAAAAAAAAAQAgAAAAKgEAAGRycy9lMm9Eb2MueG1sUEsFBgAAAAAGAAYAWQEAALUF&#10;AAAAAA==&#10;">
            <v:path/>
            <v:fill on="t" focussize="0,0"/>
            <v:stroke color="#BCBCBC" joinstyle="round"/>
            <v:imagedata o:title=""/>
            <o:lock v:ext="edit"/>
            <v:textbox>
              <w:txbxContent>
                <w:p>
                  <w:pPr>
                    <w:jc w:val="center"/>
                    <w:rPr>
                      <w:kern w:val="0"/>
                      <w:sz w:val="24"/>
                      <w:szCs w:val="24"/>
                    </w:rPr>
                  </w:pPr>
                  <w:r>
                    <w:rPr>
                      <w:rFonts w:hint="eastAsia" w:asciiTheme="minorHAnsi" w:eastAsiaTheme="minorEastAsia" w:cstheme="minorBidi"/>
                      <w:color w:val="000000" w:themeColor="dark1"/>
                      <w:sz w:val="28"/>
                      <w:szCs w:val="28"/>
                    </w:rPr>
                    <w:t>男女比例为</w:t>
                  </w:r>
                  <w:r>
                    <w:rPr>
                      <w:rFonts w:asciiTheme="minorHAnsi" w:eastAsiaTheme="minorEastAsia" w:cstheme="minorBidi"/>
                      <w:color w:val="000000" w:themeColor="dark1"/>
                      <w:sz w:val="28"/>
                      <w:szCs w:val="28"/>
                    </w:rPr>
                    <w:t>2</w:t>
                  </w:r>
                  <w:r>
                    <w:rPr>
                      <w:rFonts w:hint="eastAsia" w:asciiTheme="minorHAnsi" w:eastAsiaTheme="minorEastAsia" w:cstheme="minorBidi"/>
                      <w:color w:val="000000" w:themeColor="dark1"/>
                      <w:sz w:val="28"/>
                      <w:szCs w:val="28"/>
                    </w:rPr>
                    <w:t>：</w:t>
                  </w:r>
                  <w:r>
                    <w:rPr>
                      <w:rFonts w:asciiTheme="minorHAnsi" w:eastAsiaTheme="minorEastAsia" w:cstheme="minorBidi"/>
                      <w:color w:val="000000" w:themeColor="dark1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  <w:r>
        <w:rPr>
          <w:rFonts w:ascii="宋体" w:hAnsi="宋体"/>
          <w:sz w:val="24"/>
          <w:szCs w:val="28"/>
        </w:rPr>
        <w:drawing>
          <wp:inline distT="0" distB="0" distL="0" distR="0">
            <wp:extent cx="4584700" cy="2755900"/>
            <wp:effectExtent l="0" t="0" r="635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br w:type="page"/>
      </w:r>
    </w:p>
    <w:p/>
    <w:p>
      <w:pPr>
        <w:spacing w:beforeLines="100" w:afterLines="100" w:line="440" w:lineRule="exact"/>
        <w:ind w:right="-42" w:rightChars="-20"/>
        <w:outlineLvl w:val="0"/>
        <w:rPr>
          <w:rFonts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</w:pPr>
      <w:bookmarkStart w:id="8" w:name="_Toc19944"/>
      <w:bookmarkStart w:id="9" w:name="_Toc12186"/>
      <w:bookmarkStart w:id="10" w:name="_Toc14529"/>
      <w:bookmarkStart w:id="11" w:name="_Toc22512"/>
      <w:r>
        <w:rPr>
          <w:rFonts w:ascii="方正黑体简体" w:hAnsi="方正黑体简体" w:eastAsia="方正黑体简体" w:cs="方正黑体简体"/>
          <w:color w:val="FFFFFF"/>
          <w:sz w:val="32"/>
          <w:szCs w:val="32"/>
        </w:rPr>
        <w:pict>
          <v:shape id="_x0000_s1032" o:spid="_x0000_s1032" o:spt="116" type="#_x0000_t116" style="position:absolute;left:0pt;margin-left:-12.45pt;margin-top:14.95pt;height:24.25pt;width:135.1pt;z-index:-251652096;mso-width-relative:page;mso-height-relative:page;" fillcolor="#007CC3" filled="t" stroked="f" coordsize="21600,21600" o:gfxdata="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LgxpznaAAAACQEAAA8AAAAAAAAAAQAg&#10;AAAAIgAAAGRycy9kb3ducmV2LnhtbFBLAQIUABQAAAAIAIdO4kB3XXwtRQIAAFsEAAAOAAAAAAAA&#10;AAEAIAAAACkBAABkcnMvZTJvRG9jLnhtbFBLBQYAAAAABgAGAFkBAADgBQAAAAA=&#10;">
            <v:path/>
            <v:fill on="t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  <w:t>三、生源地构成</w:t>
      </w:r>
      <w:bookmarkEnd w:id="8"/>
      <w:bookmarkEnd w:id="9"/>
      <w:bookmarkEnd w:id="10"/>
      <w:bookmarkEnd w:id="11"/>
    </w:p>
    <w:p>
      <w:pPr>
        <w:spacing w:line="360" w:lineRule="auto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来自全国29个省、市、自治区，其中重庆籍2142人，占总人数的65.42%，非重庆籍</w:t>
      </w:r>
      <w:r>
        <w:rPr>
          <w:rFonts w:ascii="宋体" w:hAnsi="宋体"/>
          <w:sz w:val="24"/>
          <w:szCs w:val="28"/>
        </w:rPr>
        <w:t>1132</w:t>
      </w:r>
      <w:r>
        <w:rPr>
          <w:rFonts w:hint="eastAsia" w:ascii="宋体" w:hAnsi="宋体"/>
          <w:sz w:val="24"/>
          <w:szCs w:val="28"/>
        </w:rPr>
        <w:t>人，占总人数的</w:t>
      </w:r>
      <w:r>
        <w:rPr>
          <w:rFonts w:ascii="宋体" w:hAnsi="宋体"/>
          <w:sz w:val="24"/>
          <w:szCs w:val="28"/>
        </w:rPr>
        <w:t>34.58%</w:t>
      </w:r>
      <w:r>
        <w:rPr>
          <w:rFonts w:hint="eastAsia" w:ascii="宋体" w:hAnsi="宋体"/>
          <w:sz w:val="24"/>
          <w:szCs w:val="28"/>
        </w:rPr>
        <w:t>。</w:t>
      </w:r>
    </w:p>
    <w:p>
      <w:pPr>
        <w:spacing w:line="360" w:lineRule="auto"/>
      </w:pPr>
      <w:r>
        <w:drawing>
          <wp:inline distT="0" distB="0" distL="0" distR="0">
            <wp:extent cx="5274310" cy="2967990"/>
            <wp:effectExtent l="0" t="0" r="254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numPr>
          <w:ilvl w:val="0"/>
          <w:numId w:val="2"/>
        </w:numPr>
        <w:spacing w:beforeLines="100" w:afterLines="100" w:line="440" w:lineRule="exact"/>
        <w:ind w:right="-42" w:rightChars="-20"/>
        <w:outlineLvl w:val="0"/>
        <w:rPr>
          <w:rFonts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</w:pPr>
      <w:bookmarkStart w:id="12" w:name="_Toc31493"/>
      <w:bookmarkStart w:id="13" w:name="_Toc25998"/>
      <w:bookmarkStart w:id="14" w:name="_Toc28221"/>
      <w:bookmarkStart w:id="15" w:name="_Toc5093"/>
      <w:r>
        <w:rPr>
          <w:rFonts w:ascii="方正黑体简体" w:hAnsi="方正黑体简体" w:eastAsia="方正黑体简体" w:cs="方正黑体简体"/>
          <w:color w:val="FFFFFF"/>
          <w:sz w:val="32"/>
          <w:szCs w:val="32"/>
        </w:rPr>
        <w:pict>
          <v:shape id="_x0000_s1031" o:spid="_x0000_s1031" o:spt="116" type="#_x0000_t116" style="position:absolute;left:0pt;margin-left:-11.5pt;margin-top:15.5pt;height:24.25pt;width:135.1pt;z-index:-251651072;mso-width-relative:page;mso-height-relative:page;" fillcolor="#007CC3" filled="t" stroked="f" coordsize="21600,21600" o:gfxdata="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r3YjLtkAAAAJAQAADwAAAAAAAAABACAAAAAi&#10;AAAAZHJzL2Rvd25yZXYueG1sUEsBAhQAFAAAAAgAh07iQGeES95CAgAATQQAAA4AAAAAAAAAAQAg&#10;AAAAKAEAAGRycy9lMm9Eb2MueG1sUEsFBgAAAAAGAAYAWQEAANwFAAAAAA==&#10;">
            <v:path/>
            <v:fill on="t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  <w:t>专业分布</w:t>
      </w:r>
      <w:bookmarkEnd w:id="12"/>
      <w:bookmarkEnd w:id="13"/>
      <w:bookmarkEnd w:id="14"/>
      <w:bookmarkEnd w:id="15"/>
    </w:p>
    <w:p>
      <w:pPr>
        <w:spacing w:line="360" w:lineRule="auto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共计38个本科专业有毕业生，分布在17个院（系）。</w:t>
      </w:r>
    </w:p>
    <w:p>
      <w:pPr>
        <w:spacing w:line="360" w:lineRule="auto"/>
        <w:rPr>
          <w:rFonts w:ascii="宋体" w:hAnsi="宋体"/>
          <w:sz w:val="24"/>
          <w:szCs w:val="28"/>
        </w:rPr>
      </w:pPr>
      <w:r>
        <w:drawing>
          <wp:inline distT="0" distB="0" distL="0" distR="0">
            <wp:extent cx="5274310" cy="1431925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sz w:val="24"/>
          <w:szCs w:val="28"/>
        </w:rPr>
      </w:pPr>
    </w:p>
    <w:p>
      <w:pPr>
        <w:widowControl/>
        <w:jc w:val="left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br w:type="page"/>
      </w:r>
    </w:p>
    <w:p>
      <w:pPr>
        <w:spacing w:line="360" w:lineRule="auto"/>
        <w:rPr>
          <w:rFonts w:ascii="宋体" w:hAnsi="宋体"/>
          <w:sz w:val="24"/>
          <w:szCs w:val="28"/>
        </w:rPr>
      </w:pPr>
      <w:r>
        <w:rPr>
          <w:u w:val="single"/>
        </w:rPr>
        <w:drawing>
          <wp:inline distT="0" distB="0" distL="0" distR="0">
            <wp:extent cx="5274310" cy="8263255"/>
            <wp:effectExtent l="0" t="0" r="254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6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br w:type="page"/>
      </w:r>
    </w:p>
    <w:p>
      <w:pPr>
        <w:spacing w:line="360" w:lineRule="auto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其中，英语、商务英语（含中澳合作项目）、翻译等3个英语类专业合计1217人；法语、意大利语、德语、阿拉伯语、朝鲜语、泰语、越南语、俄语、西班牙语、葡萄牙语、日语、希伯来语、匈牙利语13个非英语类外语语种合计759人；国际政治、外交学、金融学、国际经济与贸易、财务管理、人力资源管理、审计学、物流管理、电子商务、旅游管理、新闻学、广播电视学、广告学、网络与新媒体、汉语言文学、汉语国际教育、法学、社会学、社会工作、教育学20个非外语非艺术类专业合计1201人；播音与主持艺术、广播电视编导2个艺术类专业合计97人。</w:t>
      </w: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jc w:val="center"/>
        <w:rPr>
          <w:rFonts w:ascii="宋体" w:hAnsi="宋体"/>
          <w:sz w:val="24"/>
          <w:szCs w:val="28"/>
        </w:rPr>
      </w:pPr>
      <w:r>
        <w:drawing>
          <wp:inline distT="0" distB="0" distL="0" distR="0">
            <wp:extent cx="4857750" cy="2743200"/>
            <wp:effectExtent l="0" t="0" r="0" b="0"/>
            <wp:docPr id="49" name="图表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numPr>
          <w:ilvl w:val="0"/>
          <w:numId w:val="2"/>
        </w:numPr>
        <w:spacing w:beforeLines="100" w:afterLines="100" w:line="440" w:lineRule="exact"/>
        <w:ind w:right="-42" w:rightChars="-20"/>
        <w:outlineLvl w:val="0"/>
        <w:rPr>
          <w:rFonts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</w:pPr>
      <w:bookmarkStart w:id="16" w:name="_Toc2858"/>
      <w:bookmarkStart w:id="17" w:name="_Toc32659"/>
      <w:bookmarkStart w:id="18" w:name="_Toc26577"/>
      <w:bookmarkStart w:id="19" w:name="_Toc19289"/>
      <w:r>
        <w:rPr>
          <w:rFonts w:ascii="方正黑体简体" w:hAnsi="方正黑体简体" w:eastAsia="方正黑体简体" w:cs="方正黑体简体"/>
          <w:color w:val="FFFFFF"/>
          <w:sz w:val="32"/>
          <w:szCs w:val="32"/>
        </w:rPr>
        <w:pict>
          <v:shape id="_x0000_s1030" o:spid="_x0000_s1030" o:spt="116" type="#_x0000_t116" style="position:absolute;left:0pt;margin-left:-12.8pt;margin-top:16.4pt;height:24.25pt;width:135.1pt;z-index:-251654144;mso-width-relative:page;mso-height-relative:page;" fillcolor="#007CC3" filled="t" stroked="f" coordsize="21600,21600" o:gfxdata="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Bqqgmo2AAAAAkBAAAPAAAAAAAAAAEAIAAAACIA&#10;AABkcnMvZG93bnJldi54bWxQSwECFAAUAAAACACHTuJAfOubwUICAABNBAAADgAAAAAAAAABACAA&#10;AAAnAQAAZHJzL2Uyb0RvYy54bWxQSwUGAAAAAAYABgBZAQAA2wUAAAAA&#10;">
            <v:path/>
            <v:fill on="t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  <w:t>民族分布</w:t>
      </w:r>
      <w:bookmarkEnd w:id="16"/>
      <w:bookmarkEnd w:id="17"/>
      <w:bookmarkEnd w:id="18"/>
      <w:bookmarkEnd w:id="19"/>
    </w:p>
    <w:p>
      <w:pPr>
        <w:spacing w:line="360" w:lineRule="auto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毕业生的民族组成，汉族共2975人，占90.87%；少数民族共299人，占9.13%。其中土家族171人，苗族54人，壮族14人，回族9人，藏族和满族均为8人，其他少数民族35人。</w:t>
      </w: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widowControl/>
        <w:jc w:val="left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br w:type="page"/>
      </w: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drawing>
          <wp:inline distT="0" distB="0" distL="0" distR="0">
            <wp:extent cx="4584700" cy="2838450"/>
            <wp:effectExtent l="0" t="0" r="635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spacing w:beforeLines="100" w:afterLines="100" w:line="440" w:lineRule="exact"/>
        <w:ind w:right="-42" w:rightChars="-20"/>
        <w:outlineLvl w:val="0"/>
        <w:rPr>
          <w:rFonts w:ascii="方正黑体简体" w:hAnsi="方正黑体简体" w:eastAsia="方正黑体简体" w:cs="方正黑体简体"/>
          <w:color w:val="FFFFFF"/>
          <w:sz w:val="32"/>
          <w:szCs w:val="32"/>
        </w:rPr>
      </w:pPr>
      <w:bookmarkStart w:id="20" w:name="_Toc5218"/>
      <w:bookmarkStart w:id="21" w:name="_Hlk59053331"/>
    </w:p>
    <w:p>
      <w:pPr>
        <w:spacing w:beforeLines="100" w:afterLines="100" w:line="440" w:lineRule="exact"/>
        <w:ind w:right="-42" w:rightChars="-20"/>
        <w:outlineLvl w:val="0"/>
        <w:rPr>
          <w:rFonts w:ascii="方正黑体简体" w:hAnsi="方正黑体简体" w:eastAsia="方正黑体简体" w:cs="方正黑体简体"/>
          <w:color w:val="FFFFFF"/>
          <w:sz w:val="32"/>
          <w:szCs w:val="32"/>
        </w:rPr>
      </w:pPr>
      <w:bookmarkStart w:id="22" w:name="_Toc79"/>
      <w:bookmarkStart w:id="23" w:name="_Toc17537"/>
      <w:bookmarkStart w:id="24" w:name="_Toc27251"/>
      <w:r>
        <w:rPr>
          <w:rFonts w:hint="eastAsia" w:ascii="方正黑体简体" w:hAnsi="方正黑体简体" w:eastAsia="方正黑体简体" w:cs="方正黑体简体"/>
          <w:color w:val="FFFFFF"/>
          <w:sz w:val="32"/>
          <w:szCs w:val="32"/>
        </w:rPr>
        <w:t>六、</w:t>
      </w:r>
      <w:r>
        <w:rPr>
          <w:rFonts w:ascii="方正黑体简体" w:hAnsi="方正黑体简体" w:eastAsia="方正黑体简体" w:cs="方正黑体简体"/>
          <w:color w:val="FFFFFF"/>
          <w:sz w:val="32"/>
          <w:szCs w:val="32"/>
        </w:rPr>
        <w:pict>
          <v:shape id="_x0000_s1029" o:spid="_x0000_s1029" o:spt="116" type="#_x0000_t116" style="position:absolute;left:0pt;margin-left:-10.9pt;margin-top:1.25pt;height:24.25pt;width:164.15pt;z-index:-251649024;mso-width-relative:page;mso-height-relative:page;" fillcolor="#007CC3" filled="t" stroked="f" coordsize="21600,21600" o:gfxdata="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AUcxx01wAAAAgBAAAPAAAAAAAAAAEAIAAA&#10;ACIAAABkcnMvZG93bnJldi54bWxQSwECFAAUAAAACACHTuJAMI/e0EYCAABbBAAADgAAAAAAAAAB&#10;ACAAAAAmAQAAZHJzL2Uyb0RvYy54bWxQSwUGAAAAAAYABgBZAQAA3gUAAAAA&#10;">
            <v:path/>
            <v:fill on="t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方正黑体简体" w:hAnsi="方正黑体简体" w:eastAsia="方正黑体简体" w:cs="方正黑体简体"/>
          <w:color w:val="FFFFFF"/>
          <w:sz w:val="32"/>
          <w:szCs w:val="32"/>
        </w:rPr>
        <w:t>困难毕业生情况</w:t>
      </w:r>
      <w:bookmarkEnd w:id="20"/>
      <w:bookmarkEnd w:id="22"/>
      <w:bookmarkEnd w:id="23"/>
      <w:bookmarkEnd w:id="24"/>
    </w:p>
    <w:bookmarkEnd w:id="21"/>
    <w:p>
      <w:pPr>
        <w:spacing w:line="360" w:lineRule="auto"/>
        <w:ind w:firstLine="480" w:firstLineChars="200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困难毕业生共878人，占比26.82%。其中，家庭经济困难学生共857人，就业困难学生19人，其他困难学生2人。</w:t>
      </w:r>
    </w:p>
    <w:p>
      <w:pPr>
        <w:spacing w:line="360" w:lineRule="auto"/>
        <w:rPr>
          <w:rFonts w:ascii="宋体" w:hAnsi="宋体"/>
          <w:sz w:val="24"/>
          <w:szCs w:val="28"/>
        </w:rPr>
      </w:pPr>
      <w:r>
        <w:rPr>
          <w:rFonts w:ascii="宋体" w:hAnsi="宋体"/>
          <w:sz w:val="24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82550</wp:posOffset>
            </wp:positionV>
            <wp:extent cx="6985635" cy="3594100"/>
            <wp:effectExtent l="0" t="0" r="5715" b="635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5635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spacing w:line="360" w:lineRule="auto"/>
        <w:rPr>
          <w:rFonts w:ascii="宋体" w:hAnsi="宋体"/>
          <w:sz w:val="24"/>
          <w:szCs w:val="28"/>
        </w:rPr>
      </w:pPr>
    </w:p>
    <w:p>
      <w:pPr>
        <w:widowControl/>
        <w:jc w:val="left"/>
        <w:rPr>
          <w:sz w:val="36"/>
          <w:szCs w:val="32"/>
        </w:rPr>
        <w:sectPr>
          <w:headerReference r:id="rId3" w:type="default"/>
          <w:headerReference r:id="rId4" w:type="even"/>
          <w:pgSz w:w="11906" w:h="16838"/>
          <w:pgMar w:top="1701" w:right="1800" w:bottom="1440" w:left="1800" w:header="851" w:footer="992" w:gutter="0"/>
          <w:pgNumType w:start="3"/>
          <w:cols w:space="0" w:num="1"/>
          <w:docGrid w:type="lines" w:linePitch="312" w:charSpace="0"/>
        </w:sectPr>
      </w:pPr>
    </w:p>
    <w:p>
      <w:pPr>
        <w:widowControl/>
        <w:jc w:val="center"/>
        <w:rPr>
          <w:rFonts w:ascii="方正粗宋简体" w:hAnsi="方正粗宋简体" w:eastAsia="方正粗宋简体" w:cs="方正粗宋简体"/>
          <w:b/>
          <w:bCs/>
          <w:sz w:val="36"/>
          <w:szCs w:val="32"/>
        </w:rPr>
      </w:pPr>
    </w:p>
    <w:p>
      <w:pPr>
        <w:numPr>
          <w:ilvl w:val="0"/>
          <w:numId w:val="3"/>
        </w:numPr>
        <w:spacing w:beforeLines="100" w:afterLines="100" w:line="440" w:lineRule="exact"/>
        <w:ind w:right="-42" w:rightChars="-20"/>
        <w:outlineLvl w:val="0"/>
        <w:rPr>
          <w:rFonts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</w:pPr>
      <w:bookmarkStart w:id="25" w:name="_Toc30642"/>
      <w:bookmarkStart w:id="26" w:name="_Toc31924"/>
      <w:bookmarkStart w:id="27" w:name="_Toc2950"/>
      <w:bookmarkStart w:id="28" w:name="_Toc18578"/>
      <w:r>
        <w:rPr>
          <w:rFonts w:ascii="方正黑体简体" w:hAnsi="方正黑体简体" w:eastAsia="方正黑体简体" w:cs="方正黑体简体"/>
          <w:color w:val="FFFFFF"/>
          <w:sz w:val="32"/>
          <w:szCs w:val="32"/>
        </w:rPr>
        <w:pict>
          <v:shape id="_x0000_s1028" o:spid="_x0000_s1028" o:spt="116" type="#_x0000_t116" style="position:absolute;left:0pt;margin-left:-12.8pt;margin-top:16.65pt;height:24.25pt;width:113.35pt;z-index:-251650048;mso-width-relative:page;mso-height-relative:page;" fillcolor="#007CC3" filled="t" stroked="f" coordsize="21600,21600" o:gfxdata="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C3wZcU2AAAAAkBAAAPAAAAAAAAAAEAIAAA&#10;ACIAAABkcnMvZG93bnJldi54bWxQSwECFAAUAAAACACHTuJAXjNWAEUCAABZBAAADgAAAAAAAAAB&#10;ACAAAAAnAQAAZHJzL2Uyb0RvYy54bWxQSwUGAAAAAAYABgBZAQAA3gUAAAAA&#10;">
            <v:path/>
            <v:fill on="t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方正黑体简体" w:hAnsi="方正黑体简体" w:eastAsia="方正黑体简体" w:cs="方正黑体简体"/>
          <w:bCs/>
          <w:color w:val="FFFFFF"/>
          <w:kern w:val="0"/>
          <w:sz w:val="32"/>
          <w:szCs w:val="32"/>
        </w:rPr>
        <w:t>就业率</w:t>
      </w:r>
      <w:bookmarkEnd w:id="25"/>
      <w:bookmarkEnd w:id="26"/>
      <w:bookmarkEnd w:id="27"/>
      <w:bookmarkEnd w:id="28"/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29" w:name="_Toc4238"/>
      <w:bookmarkStart w:id="30" w:name="_Toc21657"/>
      <w:bookmarkStart w:id="31" w:name="_Toc3356"/>
      <w:r>
        <w:rPr>
          <w:rFonts w:hint="eastAsia"/>
          <w:b/>
          <w:bCs/>
          <w:sz w:val="24"/>
        </w:rPr>
        <w:t>（一）整体就业率</w:t>
      </w:r>
      <w:bookmarkEnd w:id="29"/>
      <w:bookmarkEnd w:id="30"/>
      <w:bookmarkEnd w:id="31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bookmarkStart w:id="32" w:name="_Hlk59240241"/>
      <w:r>
        <w:rPr>
          <w:rFonts w:hint="eastAsia"/>
          <w:sz w:val="24"/>
        </w:rPr>
        <w:t>截至2020年8月31日，我校2020届</w:t>
      </w:r>
      <w:r>
        <w:rPr>
          <w:sz w:val="24"/>
        </w:rPr>
        <w:t>3274</w:t>
      </w:r>
      <w:r>
        <w:rPr>
          <w:rFonts w:hint="eastAsia"/>
          <w:sz w:val="24"/>
        </w:rPr>
        <w:t>名本科毕业生中，有</w:t>
      </w:r>
      <w:r>
        <w:rPr>
          <w:sz w:val="24"/>
        </w:rPr>
        <w:t>2399</w:t>
      </w:r>
      <w:r>
        <w:rPr>
          <w:rFonts w:hint="eastAsia"/>
          <w:sz w:val="24"/>
        </w:rPr>
        <w:t>人确定了毕业去向，初次就业率为</w:t>
      </w:r>
      <w:r>
        <w:rPr>
          <w:sz w:val="24"/>
        </w:rPr>
        <w:t>73.27%</w:t>
      </w:r>
      <w:r>
        <w:rPr>
          <w:rFonts w:hint="eastAsia"/>
          <w:sz w:val="24"/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截至2020年12月31日，有</w:t>
      </w:r>
      <w:r>
        <w:rPr>
          <w:sz w:val="24"/>
        </w:rPr>
        <w:t>2696</w:t>
      </w:r>
      <w:r>
        <w:rPr>
          <w:rFonts w:hint="eastAsia"/>
          <w:sz w:val="24"/>
        </w:rPr>
        <w:t>人确定了毕业去向，最终就业率为</w:t>
      </w:r>
      <w:r>
        <w:rPr>
          <w:sz w:val="24"/>
        </w:rPr>
        <w:t>82.35%</w:t>
      </w:r>
      <w:r>
        <w:rPr>
          <w:rFonts w:hint="eastAsia"/>
          <w:sz w:val="24"/>
        </w:rPr>
        <w:t>。</w:t>
      </w:r>
    </w:p>
    <w:bookmarkEnd w:id="32"/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4584700" cy="2838450"/>
            <wp:effectExtent l="0" t="0" r="635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ind w:firstLine="440" w:firstLineChars="200"/>
        <w:jc w:val="left"/>
        <w:rPr>
          <w:sz w:val="22"/>
          <w:szCs w:val="21"/>
        </w:rPr>
      </w:pPr>
      <w:r>
        <w:rPr>
          <w:rFonts w:hint="eastAsia"/>
          <w:sz w:val="22"/>
          <w:szCs w:val="21"/>
        </w:rPr>
        <w:t>备注：根据教育部及重庆市教委有关文件精神，本着实事求是、真实客观的原则，严格执行教育部“四不准”要求，以毕业生与用人单位签订的《全国普通高等学校毕业生就业协议书》、劳动合同或其他形式的就业证明材料为依据纳入就业统计范围，确保就业方案的真实性和严肃性。</w:t>
      </w:r>
    </w:p>
    <w:p>
      <w:pPr>
        <w:widowControl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33" w:name="_Toc23266"/>
      <w:bookmarkStart w:id="34" w:name="_Toc4289"/>
      <w:bookmarkStart w:id="35" w:name="_Toc29936"/>
      <w:r>
        <w:rPr>
          <w:rFonts w:hint="eastAsia"/>
          <w:b/>
          <w:bCs/>
          <w:sz w:val="24"/>
        </w:rPr>
        <w:t>（二）各院系、各专业就业率</w:t>
      </w:r>
      <w:bookmarkEnd w:id="33"/>
      <w:bookmarkEnd w:id="34"/>
      <w:bookmarkEnd w:id="35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截至12月31日，就业人数达2696人，就业率82.35%；其中1个专业就业率达100%，1个专业就业率在95%以上，8个专业就业率在90%以上。</w:t>
      </w:r>
    </w:p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spacing w:line="360" w:lineRule="auto"/>
        <w:jc w:val="left"/>
        <w:rPr>
          <w:sz w:val="24"/>
        </w:rPr>
      </w:pPr>
      <w:r>
        <w:rPr>
          <w:u w:val="single"/>
        </w:rPr>
        <w:drawing>
          <wp:inline distT="0" distB="0" distL="0" distR="0">
            <wp:extent cx="5274310" cy="5881370"/>
            <wp:effectExtent l="0" t="0" r="254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8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drawing>
          <wp:inline distT="0" distB="0" distL="0" distR="0">
            <wp:extent cx="5274310" cy="4661535"/>
            <wp:effectExtent l="0" t="0" r="254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36" w:name="_Toc2088"/>
      <w:bookmarkStart w:id="37" w:name="_Toc15474"/>
      <w:bookmarkStart w:id="38" w:name="_Toc3579"/>
      <w:r>
        <w:rPr>
          <w:rFonts w:hint="eastAsia"/>
          <w:b/>
          <w:bCs/>
          <w:sz w:val="24"/>
        </w:rPr>
        <w:t>（三）外语类和非外语类专业就业率</w:t>
      </w:r>
      <w:bookmarkEnd w:id="36"/>
      <w:bookmarkEnd w:id="37"/>
      <w:bookmarkEnd w:id="38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外语类专业包括英语、商务英语（含中澳合作项目）、翻译等3个英语类专业及法语、意大利语、德语、阿拉伯语、朝鲜语、泰语、越南语、俄语、西班牙语、葡萄牙语、日语、希伯来语、匈牙利语13个非英语类外语语种专业，毕业人数共计</w:t>
      </w:r>
      <w:r>
        <w:rPr>
          <w:sz w:val="24"/>
        </w:rPr>
        <w:t>1976</w:t>
      </w:r>
      <w:r>
        <w:rPr>
          <w:rFonts w:hint="eastAsia"/>
          <w:sz w:val="24"/>
        </w:rPr>
        <w:t>人，就业人数共计</w:t>
      </w:r>
      <w:r>
        <w:rPr>
          <w:sz w:val="24"/>
        </w:rPr>
        <w:t>1602</w:t>
      </w:r>
      <w:r>
        <w:rPr>
          <w:rFonts w:hint="eastAsia"/>
          <w:sz w:val="24"/>
        </w:rPr>
        <w:t>，就业率为</w:t>
      </w:r>
      <w:r>
        <w:rPr>
          <w:sz w:val="24"/>
        </w:rPr>
        <w:t>81.07%</w:t>
      </w:r>
      <w:r>
        <w:rPr>
          <w:rFonts w:hint="eastAsia"/>
          <w:sz w:val="24"/>
        </w:rPr>
        <w:t>；非外语类专业包括</w:t>
      </w:r>
      <w:r>
        <w:rPr>
          <w:rFonts w:hint="eastAsia" w:ascii="宋体" w:hAnsi="宋体"/>
          <w:sz w:val="24"/>
          <w:szCs w:val="28"/>
        </w:rPr>
        <w:t>国际政治、外交学、金融学、国际经济与贸易、财务管理、人力资源管理、审计学、物流管理、电子商务、旅游管理、新闻学、广播电视学、广告学、网络与新媒体、汉语言文学、汉语国际教育、法学、社会学、社会工作、教育学20</w:t>
      </w:r>
      <w:r>
        <w:rPr>
          <w:rFonts w:hint="eastAsia"/>
          <w:sz w:val="24"/>
        </w:rPr>
        <w:t>个非外语非艺术类专业及播音与主持艺术、广播电视编导2个艺术类专业，毕业人数共计</w:t>
      </w:r>
      <w:r>
        <w:rPr>
          <w:sz w:val="24"/>
        </w:rPr>
        <w:t>1298</w:t>
      </w:r>
      <w:r>
        <w:rPr>
          <w:rFonts w:hint="eastAsia"/>
          <w:sz w:val="24"/>
        </w:rPr>
        <w:t>人，就业人数共计</w:t>
      </w:r>
      <w:r>
        <w:rPr>
          <w:sz w:val="24"/>
        </w:rPr>
        <w:t>1094</w:t>
      </w:r>
      <w:r>
        <w:rPr>
          <w:rFonts w:hint="eastAsia"/>
          <w:sz w:val="24"/>
        </w:rPr>
        <w:t>，就业率为</w:t>
      </w:r>
      <w:r>
        <w:rPr>
          <w:sz w:val="24"/>
        </w:rPr>
        <w:t>84.28%</w:t>
      </w:r>
      <w:r>
        <w:rPr>
          <w:rFonts w:hint="eastAsia"/>
          <w:sz w:val="24"/>
        </w:rPr>
        <w:t>。</w:t>
      </w:r>
    </w:p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drawing>
          <wp:inline distT="0" distB="0" distL="0" distR="0">
            <wp:extent cx="4572000" cy="2743200"/>
            <wp:effectExtent l="0" t="0" r="0" b="0"/>
            <wp:docPr id="69" name="图表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39" w:name="_Toc5029"/>
      <w:bookmarkStart w:id="40" w:name="_Toc21969"/>
      <w:bookmarkStart w:id="41" w:name="_Toc26005"/>
      <w:r>
        <w:rPr>
          <w:rFonts w:hint="eastAsia"/>
          <w:b/>
          <w:bCs/>
          <w:sz w:val="24"/>
        </w:rPr>
        <w:t>（四）少数民族毕业生就业情况</w:t>
      </w:r>
      <w:bookmarkEnd w:id="39"/>
      <w:bookmarkEnd w:id="40"/>
      <w:bookmarkEnd w:id="41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299名少数民族本科毕业生中，确定了毕业去向的有238人，就业率为79.60%。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4584700" cy="2838450"/>
            <wp:effectExtent l="0" t="0" r="635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42" w:name="_Toc25218"/>
      <w:bookmarkStart w:id="43" w:name="_Toc15761"/>
      <w:bookmarkStart w:id="44" w:name="_Toc26167"/>
      <w:r>
        <w:rPr>
          <w:rFonts w:hint="eastAsia"/>
          <w:b/>
          <w:bCs/>
          <w:sz w:val="24"/>
        </w:rPr>
        <w:t>（五）困难毕业生就业情况</w:t>
      </w:r>
      <w:bookmarkEnd w:id="42"/>
      <w:bookmarkEnd w:id="43"/>
      <w:bookmarkEnd w:id="44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878名本科困难毕业生中，确定了毕业去向的有</w:t>
      </w:r>
      <w:r>
        <w:rPr>
          <w:sz w:val="24"/>
        </w:rPr>
        <w:t>744</w:t>
      </w:r>
      <w:r>
        <w:rPr>
          <w:rFonts w:hint="eastAsia"/>
          <w:sz w:val="24"/>
        </w:rPr>
        <w:t>人，就业率为</w:t>
      </w:r>
      <w:r>
        <w:rPr>
          <w:sz w:val="24"/>
        </w:rPr>
        <w:t>84.74%</w:t>
      </w:r>
      <w:r>
        <w:rPr>
          <w:rFonts w:hint="eastAsia"/>
          <w:sz w:val="24"/>
        </w:rPr>
        <w:t>。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4572000" cy="2825750"/>
            <wp:effectExtent l="0" t="0" r="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82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45" w:name="_Toc17025"/>
      <w:bookmarkStart w:id="46" w:name="_Toc3877"/>
      <w:bookmarkStart w:id="47" w:name="_Toc23757"/>
      <w:r>
        <w:rPr>
          <w:rFonts w:hint="eastAsia"/>
          <w:b/>
          <w:bCs/>
          <w:sz w:val="24"/>
        </w:rPr>
        <w:t>（六）分类别就业情况</w:t>
      </w:r>
      <w:bookmarkEnd w:id="45"/>
      <w:bookmarkEnd w:id="46"/>
      <w:bookmarkEnd w:id="47"/>
    </w:p>
    <w:p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t xml:space="preserve">1. </w:t>
      </w:r>
      <w:r>
        <w:rPr>
          <w:rFonts w:hint="eastAsia"/>
          <w:sz w:val="24"/>
        </w:rPr>
        <w:t>外语外贸类用人单位就业情况</w:t>
      </w:r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2020届本科毕业生就业于外语外贸类用人单位共888人，占签约就业人数的60.41%。其中，外语类用人单位就业人数为567人，占比为38.57%；外贸类用人单位就业人数为321人，占比为21.84%。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4584700" cy="3016250"/>
            <wp:effectExtent l="0" t="0" r="635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30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2.</w:t>
      </w:r>
      <w:r>
        <w:rPr>
          <w:sz w:val="24"/>
        </w:rPr>
        <w:t xml:space="preserve"> </w:t>
      </w:r>
      <w:r>
        <w:rPr>
          <w:rFonts w:hint="eastAsia"/>
          <w:sz w:val="24"/>
        </w:rPr>
        <w:t>世界500强企业就业情况</w:t>
      </w:r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2020届本科毕业生在世界500强企业就业人数为162人，占比11.02%，分别就职于56个企业，如中国银行、中国工商银行、中国建设银行、中国农业银行、中国建筑股份有限公司、中铁建工集团、中冶建工集团、中国邮政储蓄银行、中国石油天然气股份有限公司、中国能源建设集团、中国移动通信集团、中国电信股份有限公司、华为技术有限公司、腾讯科技有限公司、美的集团、小米通信技术有限公司等。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4584700" cy="2838450"/>
            <wp:effectExtent l="0" t="0" r="6350" b="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numPr>
          <w:ilvl w:val="0"/>
          <w:numId w:val="4"/>
        </w:numPr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成渝双城经济圈就业情况</w:t>
      </w:r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2020届本科毕业生在成渝双城经济圈就业人数为1420人，占就业人数的</w:t>
      </w:r>
      <w:r>
        <w:rPr>
          <w:sz w:val="24"/>
        </w:rPr>
        <w:t>52.67%</w:t>
      </w:r>
      <w:r>
        <w:rPr>
          <w:rFonts w:hint="eastAsia"/>
          <w:sz w:val="24"/>
        </w:rPr>
        <w:t>，其中大重庆范围1261人，占比为</w:t>
      </w:r>
      <w:r>
        <w:rPr>
          <w:sz w:val="24"/>
        </w:rPr>
        <w:t>46.77%</w:t>
      </w:r>
      <w:r>
        <w:rPr>
          <w:rFonts w:hint="eastAsia"/>
          <w:sz w:val="24"/>
        </w:rPr>
        <w:t>；成都及其周边159人，占比为</w:t>
      </w:r>
      <w:r>
        <w:rPr>
          <w:sz w:val="24"/>
        </w:rPr>
        <w:t>5.90%</w:t>
      </w:r>
      <w:r>
        <w:rPr>
          <w:rFonts w:hint="eastAsia"/>
          <w:sz w:val="24"/>
        </w:rPr>
        <w:t>。</w:t>
      </w:r>
    </w:p>
    <w:p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4584700" cy="2755900"/>
            <wp:effectExtent l="0" t="0" r="6350" b="635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rPr>
          <w:sz w:val="24"/>
        </w:rPr>
      </w:pPr>
      <w:r>
        <w:rPr>
          <w:rFonts w:hint="eastAsia"/>
          <w:sz w:val="24"/>
        </w:rPr>
        <w:t>4.</w:t>
      </w:r>
      <w:r>
        <w:rPr>
          <w:sz w:val="24"/>
        </w:rPr>
        <w:t xml:space="preserve"> </w:t>
      </w:r>
      <w:r>
        <w:rPr>
          <w:rFonts w:hint="eastAsia"/>
          <w:sz w:val="24"/>
        </w:rPr>
        <w:t>服务“一带一路”发展倡议就业情况</w:t>
      </w:r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2020届本科毕业生到“一带一路”沿线国家建设企业就业人数为151人，占比10.27%，共计42个企业，如中地国际工程有限公司、中国铁道建筑总公司、中铁八局集团有限公司、华为技术有限公司、中国移动通信集团公司、中国葛洲坝集团国际工程有限公司、中国建设银行、中国农业银行、美的集团、腾讯科技（深圳）有限公司、T</w:t>
      </w:r>
      <w:r>
        <w:rPr>
          <w:sz w:val="24"/>
        </w:rPr>
        <w:t>CL</w:t>
      </w:r>
      <w:r>
        <w:rPr>
          <w:rFonts w:hint="eastAsia"/>
          <w:sz w:val="24"/>
        </w:rPr>
        <w:t>集团股份有限公司等。</w:t>
      </w:r>
    </w:p>
    <w:p>
      <w:pPr>
        <w:widowControl/>
        <w:spacing w:line="360" w:lineRule="auto"/>
        <w:jc w:val="center"/>
        <w:rPr>
          <w:sz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4951095" cy="2976245"/>
            <wp:effectExtent l="0" t="0" r="1905" b="1460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jc w:val="left"/>
        <w:rPr>
          <w:sz w:val="24"/>
        </w:rPr>
      </w:pPr>
    </w:p>
    <w:p>
      <w:pPr>
        <w:numPr>
          <w:ilvl w:val="0"/>
          <w:numId w:val="3"/>
        </w:numPr>
        <w:spacing w:beforeLines="100" w:afterLines="100" w:line="440" w:lineRule="exact"/>
        <w:ind w:right="-42" w:rightChars="-20"/>
        <w:outlineLvl w:val="0"/>
        <w:rPr>
          <w:rFonts w:ascii="方正黑体简体" w:hAnsi="方正黑体简体" w:eastAsia="方正黑体简体" w:cs="方正黑体简体"/>
          <w:b/>
          <w:color w:val="FFFFFF"/>
          <w:kern w:val="0"/>
          <w:sz w:val="32"/>
          <w:szCs w:val="32"/>
        </w:rPr>
      </w:pPr>
      <w:bookmarkStart w:id="48" w:name="_Toc30099"/>
      <w:bookmarkStart w:id="49" w:name="_Toc18596"/>
      <w:bookmarkStart w:id="50" w:name="_Toc21148"/>
      <w:bookmarkStart w:id="51" w:name="_Toc19163"/>
      <w:r>
        <w:rPr>
          <w:rFonts w:ascii="方正黑体简体" w:hAnsi="方正黑体简体" w:eastAsia="方正黑体简体" w:cs="方正黑体简体"/>
          <w:color w:val="FFFFFF"/>
          <w:sz w:val="32"/>
          <w:szCs w:val="32"/>
        </w:rPr>
        <w:pict>
          <v:shape id="_x0000_s1027" o:spid="_x0000_s1027" o:spt="116" type="#_x0000_t116" style="position:absolute;left:0pt;margin-left:-12.8pt;margin-top:14.45pt;height:24.25pt;width:121.35pt;z-index:-251646976;mso-width-relative:page;mso-height-relative:page;" fillcolor="#007CC3" filled="t" stroked="f" coordsize="21600,21600" o:gfxdata="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+GWs0NkAAAAJAQAADwAAAAAAAAABACAA&#10;AAAiAAAAZHJzL2Rvd25yZXYueG1sUEsBAhQAFAAAAAgAh07iQB8ccuFFAgAAWwQAAA4AAAAAAAAA&#10;AQAgAAAAKAEAAGRycy9lMm9Eb2MueG1sUEsFBgAAAAAGAAYAWQEAAN8FAAAAAA==&#10;">
            <v:path/>
            <v:fill on="t" focussize="0,0"/>
            <v:stroke on="f" joinstyle="miter"/>
            <v:imagedata o:title=""/>
            <o:lock v:ext="edit"/>
            <v:textbox>
              <w:txbxContent>
                <w:p/>
              </w:txbxContent>
            </v:textbox>
          </v:shape>
        </w:pict>
      </w:r>
      <w:r>
        <w:rPr>
          <w:rFonts w:hint="eastAsia" w:ascii="方正黑体简体" w:hAnsi="方正黑体简体" w:eastAsia="方正黑体简体" w:cs="方正黑体简体"/>
          <w:b/>
          <w:color w:val="FFFFFF"/>
          <w:kern w:val="0"/>
          <w:sz w:val="32"/>
          <w:szCs w:val="32"/>
        </w:rPr>
        <w:t>毕业去向</w:t>
      </w:r>
      <w:bookmarkEnd w:id="48"/>
      <w:bookmarkEnd w:id="49"/>
      <w:bookmarkEnd w:id="50"/>
      <w:bookmarkEnd w:id="51"/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52" w:name="_Toc10132"/>
      <w:bookmarkStart w:id="53" w:name="_Toc30911"/>
      <w:bookmarkStart w:id="54" w:name="_Toc11047"/>
      <w:r>
        <w:rPr>
          <w:rFonts w:hint="eastAsia"/>
          <w:b/>
          <w:bCs/>
          <w:sz w:val="24"/>
        </w:rPr>
        <w:t>（一）就业类别</w:t>
      </w:r>
      <w:bookmarkEnd w:id="52"/>
      <w:bookmarkEnd w:id="53"/>
      <w:bookmarkEnd w:id="54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按照就业类别统计归口，分为签约就业、升学、出国出境、自由职业、自主创业等5个就业类别。有1470名学生签约就业，包括签就业协议形式就业、签劳动合同形式就业、其他录用形式就业、国家及地方基层项目等形式，签约率为54.53%；有413名学生国内升学，升学率为15.32%；有380人出国（境）留学，出国（境）率为14.09%；有301人自由职业，包括自由撰稿人、自由摄影师、自由译者、旅行规划师、游戏数据分析师、自由插画师、家教、主播、网络编辑等，自由职业率为11.16%；有132人自主创业，创业人率为4.90%。</w:t>
      </w:r>
    </w:p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4832350" cy="3238500"/>
            <wp:effectExtent l="0" t="0" r="635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2350" cy="323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55" w:name="_Toc12021"/>
      <w:bookmarkStart w:id="56" w:name="_Toc32133"/>
      <w:bookmarkStart w:id="57" w:name="_Toc12998"/>
      <w:r>
        <w:rPr>
          <w:rFonts w:hint="eastAsia"/>
          <w:b/>
          <w:bCs/>
          <w:sz w:val="24"/>
        </w:rPr>
        <w:t>（二）就业地域去向</w:t>
      </w:r>
      <w:bookmarkEnd w:id="55"/>
      <w:bookmarkEnd w:id="56"/>
      <w:bookmarkEnd w:id="57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已就业的2696名本科毕业生中，就业地域主要集中在重庆、广东、四川、上海和北京，其中川渝地区就业占</w:t>
      </w:r>
      <w:r>
        <w:rPr>
          <w:sz w:val="24"/>
        </w:rPr>
        <w:t>52.67%</w:t>
      </w:r>
      <w:r>
        <w:rPr>
          <w:rFonts w:hint="eastAsia"/>
          <w:sz w:val="24"/>
        </w:rPr>
        <w:t>。</w:t>
      </w:r>
    </w:p>
    <w:p>
      <w:pPr>
        <w:widowControl/>
        <w:spacing w:line="360" w:lineRule="auto"/>
        <w:jc w:val="left"/>
        <w:rPr>
          <w:sz w:val="24"/>
        </w:rPr>
      </w:pPr>
      <w:r>
        <w:drawing>
          <wp:inline distT="0" distB="0" distL="0" distR="0">
            <wp:extent cx="4864100" cy="4426585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64241" cy="442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4584700" cy="2755900"/>
            <wp:effectExtent l="0" t="0" r="6350" b="635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58" w:name="_Toc31310"/>
      <w:bookmarkStart w:id="59" w:name="_Toc2360"/>
      <w:bookmarkStart w:id="60" w:name="_Toc23045"/>
      <w:r>
        <w:rPr>
          <w:rFonts w:hint="eastAsia"/>
          <w:b/>
          <w:bCs/>
          <w:sz w:val="24"/>
        </w:rPr>
        <w:t>（三）就业单位性质</w:t>
      </w:r>
      <w:bookmarkEnd w:id="58"/>
      <w:bookmarkEnd w:id="59"/>
      <w:bookmarkEnd w:id="60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签约就业的1470人中，其他企业最多，1050人，占比71.43%；其次是国有企业，145人，占比9.86%；再次是中初教育，72人，占比4.90%。</w:t>
      </w:r>
    </w:p>
    <w:p>
      <w:pPr>
        <w:widowControl/>
        <w:spacing w:line="360" w:lineRule="auto"/>
        <w:jc w:val="left"/>
        <w:rPr>
          <w:sz w:val="24"/>
        </w:rPr>
      </w:pPr>
      <w:r>
        <w:drawing>
          <wp:inline distT="0" distB="0" distL="0" distR="0">
            <wp:extent cx="5274310" cy="3444240"/>
            <wp:effectExtent l="0" t="0" r="2540" b="381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61" w:name="_Toc21079"/>
      <w:bookmarkStart w:id="62" w:name="_Toc4620"/>
      <w:bookmarkStart w:id="63" w:name="_Toc764"/>
      <w:r>
        <w:rPr>
          <w:rFonts w:hint="eastAsia"/>
          <w:b/>
          <w:bCs/>
          <w:sz w:val="24"/>
        </w:rPr>
        <w:t>（四）就业单位行业</w:t>
      </w:r>
      <w:bookmarkEnd w:id="61"/>
      <w:bookmarkEnd w:id="62"/>
      <w:bookmarkEnd w:id="63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bookmarkStart w:id="64" w:name="_Hlk59240835"/>
      <w:r>
        <w:rPr>
          <w:rFonts w:hint="eastAsia"/>
          <w:sz w:val="24"/>
        </w:rPr>
        <w:t>就业单位所属行业范围较广，去向最多是教育业（445人、占比30.27%）、信息传输、软件和信息技术服务业（232人、占比15.78%）、制造业（138人、占比9.39%）、租赁和商务服务业（114人、占比7.76%）、批发和零售业（107人、占比7.28%）、文化、体育和娱乐业（69人、占比4.69%）。</w:t>
      </w:r>
    </w:p>
    <w:p>
      <w:pPr>
        <w:widowControl/>
        <w:spacing w:line="360" w:lineRule="auto"/>
        <w:jc w:val="left"/>
        <w:rPr>
          <w:sz w:val="24"/>
        </w:rPr>
      </w:pPr>
    </w:p>
    <w:bookmarkEnd w:id="64"/>
    <w:p>
      <w:pPr>
        <w:widowControl/>
        <w:spacing w:line="360" w:lineRule="auto"/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5289550" cy="4977765"/>
            <wp:effectExtent l="0" t="0" r="635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1484" cy="49798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sz w:val="24"/>
        </w:rPr>
      </w:pP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65" w:name="_Toc5236"/>
      <w:bookmarkStart w:id="66" w:name="_Toc4067"/>
      <w:bookmarkStart w:id="67" w:name="_Toc17093"/>
      <w:r>
        <w:rPr>
          <w:rFonts w:hint="eastAsia"/>
          <w:b/>
          <w:bCs/>
          <w:sz w:val="24"/>
        </w:rPr>
        <w:t>（五）国内升学</w:t>
      </w:r>
      <w:bookmarkEnd w:id="65"/>
      <w:bookmarkEnd w:id="66"/>
      <w:bookmarkEnd w:id="67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413人分别考取国内120所高校硕士研究生，占15.32%，较去年同期增长3.87%（国内升学率=国内升学人数/就业人数）。</w:t>
      </w:r>
    </w:p>
    <w:p>
      <w:pPr>
        <w:widowControl/>
        <w:spacing w:line="360" w:lineRule="auto"/>
        <w:jc w:val="left"/>
        <w:rPr>
          <w:sz w:val="24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-466090</wp:posOffset>
            </wp:positionH>
            <wp:positionV relativeFrom="margin">
              <wp:posOffset>2174240</wp:posOffset>
            </wp:positionV>
            <wp:extent cx="6648450" cy="6305550"/>
            <wp:effectExtent l="0" t="0" r="0" b="0"/>
            <wp:wrapNone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63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313055</wp:posOffset>
            </wp:positionH>
            <wp:positionV relativeFrom="paragraph">
              <wp:posOffset>20955</wp:posOffset>
            </wp:positionV>
            <wp:extent cx="4523105" cy="1112520"/>
            <wp:effectExtent l="0" t="0" r="3175" b="0"/>
            <wp:wrapTopAndBottom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jc w:val="left"/>
        <w:rPr>
          <w:sz w:val="24"/>
        </w:rPr>
      </w:pPr>
      <w:r>
        <w:rPr>
          <w:sz w:val="24"/>
        </w:rPr>
        <w:br w:type="page"/>
      </w:r>
    </w:p>
    <w:p>
      <w:pPr>
        <w:widowControl/>
        <w:spacing w:line="360" w:lineRule="auto"/>
        <w:jc w:val="left"/>
        <w:outlineLvl w:val="1"/>
        <w:rPr>
          <w:b/>
          <w:bCs/>
          <w:sz w:val="24"/>
        </w:rPr>
      </w:pPr>
      <w:bookmarkStart w:id="68" w:name="_Toc17954"/>
      <w:bookmarkStart w:id="69" w:name="_Toc18491"/>
      <w:bookmarkStart w:id="70" w:name="_Toc16367"/>
      <w:r>
        <w:rPr>
          <w:rFonts w:hint="eastAsia"/>
          <w:b/>
          <w:bCs/>
          <w:sz w:val="24"/>
        </w:rPr>
        <w:t>（六）出国出境</w:t>
      </w:r>
      <w:bookmarkEnd w:id="68"/>
      <w:bookmarkEnd w:id="69"/>
      <w:bookmarkEnd w:id="70"/>
    </w:p>
    <w:p>
      <w:pPr>
        <w:widowControl/>
        <w:spacing w:line="360" w:lineRule="auto"/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在2020届本科毕业生中，共有380人出国（境）留学，占比14.09%（出国（境）率=出国（境）人数/就业人数）。毕业生留学首选目标国家或地区主要有美国、英国、澳大利亚、日本、韩国、法国、西班牙、德国等；留学学校包括英国诺丁汉大学、杜伦大学、悉尼大学、巴塞罗那大学、利兹大学、日本广岛大学、东京大学、墨尔本大学、约翰霍普金斯大学、伦敦玛丽女王大学、韩国中央大学、法国昂热大学、澳大利亚新南威尔士大学、埃塞克斯大学和兰卡斯特大学、香港大学等173所。</w:t>
      </w:r>
    </w:p>
    <w:p>
      <w:pPr>
        <w:widowControl/>
        <w:jc w:val="left"/>
        <w:rPr>
          <w:sz w:val="24"/>
        </w:rPr>
      </w:pPr>
      <w:r>
        <w:drawing>
          <wp:inline distT="0" distB="0" distL="0" distR="0">
            <wp:extent cx="5274310" cy="116649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sz w:val="24"/>
        </w:rPr>
      </w:pPr>
    </w:p>
    <w:p>
      <w:pPr>
        <w:widowControl/>
        <w:spacing w:line="360" w:lineRule="auto"/>
        <w:jc w:val="left"/>
        <w:outlineLvl w:val="1"/>
        <w:rPr>
          <w:rFonts w:ascii="宋体" w:hAnsi="宋体"/>
          <w:b/>
          <w:bCs/>
          <w:sz w:val="24"/>
        </w:rPr>
      </w:pPr>
      <w:bookmarkStart w:id="71" w:name="_Toc24245"/>
      <w:bookmarkStart w:id="72" w:name="_Toc6075"/>
      <w:bookmarkStart w:id="73" w:name="_Toc29925"/>
      <w:r>
        <w:rPr>
          <w:rFonts w:hint="eastAsia" w:ascii="宋体" w:hAnsi="宋体"/>
          <w:b/>
          <w:bCs/>
          <w:sz w:val="24"/>
        </w:rPr>
        <w:t>（七）基层就业</w:t>
      </w:r>
      <w:bookmarkEnd w:id="71"/>
      <w:bookmarkEnd w:id="72"/>
      <w:bookmarkEnd w:id="73"/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参加基层项目62人，其中志愿服务西部计划56人，占比90.32%；选调生3人，占比4.84%；农技特岗、三支一扶、双特计划均为1人，占比1.61%。相较前两年增幅明显。</w:t>
      </w:r>
    </w:p>
    <w:p>
      <w:pPr>
        <w:widowControl/>
        <w:spacing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4572000" cy="2743200"/>
            <wp:effectExtent l="0" t="0" r="0" b="0"/>
            <wp:docPr id="86" name="图表 8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left"/>
      </w:pPr>
    </w:p>
    <w:p>
      <w:pPr>
        <w:widowControl/>
        <w:spacing w:line="360" w:lineRule="auto"/>
        <w:jc w:val="center"/>
        <w:rPr>
          <w:rFonts w:ascii="宋体" w:hAnsi="宋体"/>
          <w:sz w:val="24"/>
        </w:rPr>
      </w:pPr>
      <w:r>
        <w:drawing>
          <wp:inline distT="0" distB="0" distL="0" distR="0">
            <wp:extent cx="5200650" cy="13525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outlineLvl w:val="1"/>
        <w:rPr>
          <w:rFonts w:ascii="宋体" w:hAnsi="宋体"/>
          <w:b/>
          <w:bCs/>
          <w:sz w:val="24"/>
        </w:rPr>
      </w:pPr>
      <w:bookmarkStart w:id="74" w:name="_Toc17140"/>
    </w:p>
    <w:p>
      <w:pPr>
        <w:widowControl/>
        <w:spacing w:line="360" w:lineRule="auto"/>
        <w:jc w:val="left"/>
        <w:outlineLvl w:val="1"/>
        <w:rPr>
          <w:rFonts w:ascii="宋体" w:hAnsi="宋体"/>
          <w:b/>
          <w:bCs/>
          <w:sz w:val="24"/>
        </w:rPr>
      </w:pPr>
      <w:bookmarkStart w:id="75" w:name="_Toc1715"/>
      <w:bookmarkStart w:id="76" w:name="_Toc340"/>
      <w:r>
        <w:rPr>
          <w:rFonts w:hint="eastAsia" w:ascii="宋体" w:hAnsi="宋体"/>
          <w:b/>
          <w:bCs/>
          <w:sz w:val="24"/>
        </w:rPr>
        <w:t>（八）自主创业</w:t>
      </w:r>
      <w:bookmarkEnd w:id="74"/>
      <w:bookmarkEnd w:id="75"/>
      <w:bookmarkEnd w:id="76"/>
    </w:p>
    <w:p>
      <w:pPr>
        <w:widowControl/>
        <w:spacing w:line="360" w:lineRule="auto"/>
        <w:ind w:firstLine="480" w:firstLineChars="200"/>
        <w:jc w:val="lef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132名学生选择自主创业，创业率达4.90%（创业率=创业人数/毕业人数），较去年同期减少</w:t>
      </w:r>
      <w:r>
        <w:rPr>
          <w:rFonts w:hint="eastAsia" w:ascii="宋体" w:hAnsi="宋体" w:cs="宋体"/>
          <w:color w:val="000000"/>
          <w:kern w:val="0"/>
          <w:sz w:val="22"/>
        </w:rPr>
        <w:t>4.01%</w:t>
      </w:r>
      <w:r>
        <w:rPr>
          <w:rFonts w:hint="eastAsia" w:ascii="宋体" w:hAnsi="宋体"/>
          <w:sz w:val="24"/>
        </w:rPr>
        <w:t>。毕业生自主创业经营范围包括批发和零售、文化、体育和娱乐、住宿和餐饮、教育等。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spacing w:beforeLines="100" w:afterLines="100" w:line="440" w:lineRule="exact"/>
        <w:outlineLvl w:val="0"/>
        <w:rPr>
          <w:sz w:val="24"/>
        </w:rPr>
      </w:pPr>
    </w:p>
    <w:sectPr>
      <w:headerReference r:id="rId5" w:type="default"/>
      <w:footerReference r:id="rId7" w:type="default"/>
      <w:headerReference r:id="rId6" w:type="even"/>
      <w:footerReference r:id="rId8" w:type="even"/>
      <w:pgSz w:w="11906" w:h="16838"/>
      <w:pgMar w:top="1701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256769EA-B8FA-49F2-83EC-BA3E1FE048DD}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2" w:fontKey="{03F5516C-C2F6-4D4D-83CF-26BF1398553A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75AF298A-3BA7-4643-8D3D-0C5B2DB53A1A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粗宋简体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  <w:embedRegular r:id="rId4" w:fontKey="{B21590BF-29B7-4283-9DF5-5B020C5E6A89}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pBdr>
        <w:bottom w:val="none" w:color="auto" w:sz="0" w:space="1"/>
      </w:pBdr>
    </w:pPr>
  </w:p>
  <w:p>
    <w:pPr>
      <w:pStyle w:val="6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6460B2"/>
    <w:multiLevelType w:val="singleLevel"/>
    <w:tmpl w:val="8D6460B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1043C02B"/>
    <w:multiLevelType w:val="singleLevel"/>
    <w:tmpl w:val="1043C02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31E4AF5"/>
    <w:multiLevelType w:val="singleLevel"/>
    <w:tmpl w:val="131E4AF5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7C42BEFD"/>
    <w:multiLevelType w:val="singleLevel"/>
    <w:tmpl w:val="7C42BEFD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420"/>
  <w:evenAndOddHeaders w:val="1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363B7DE2"/>
    <w:rsid w:val="00007E2D"/>
    <w:rsid w:val="00021FB5"/>
    <w:rsid w:val="00025CB0"/>
    <w:rsid w:val="000418FD"/>
    <w:rsid w:val="0006102E"/>
    <w:rsid w:val="000626AF"/>
    <w:rsid w:val="000943F6"/>
    <w:rsid w:val="000B1720"/>
    <w:rsid w:val="000B3E85"/>
    <w:rsid w:val="000B6389"/>
    <w:rsid w:val="000D0A0F"/>
    <w:rsid w:val="0011270A"/>
    <w:rsid w:val="0011439A"/>
    <w:rsid w:val="00114D73"/>
    <w:rsid w:val="001324D8"/>
    <w:rsid w:val="0015324F"/>
    <w:rsid w:val="001548C9"/>
    <w:rsid w:val="00174111"/>
    <w:rsid w:val="00175BCC"/>
    <w:rsid w:val="001853FD"/>
    <w:rsid w:val="00195EC4"/>
    <w:rsid w:val="001D4A24"/>
    <w:rsid w:val="001E04B4"/>
    <w:rsid w:val="001E7255"/>
    <w:rsid w:val="001F3E23"/>
    <w:rsid w:val="0021556F"/>
    <w:rsid w:val="00254B9D"/>
    <w:rsid w:val="00256309"/>
    <w:rsid w:val="002617CB"/>
    <w:rsid w:val="002872CC"/>
    <w:rsid w:val="00290DBB"/>
    <w:rsid w:val="002B002B"/>
    <w:rsid w:val="002D211A"/>
    <w:rsid w:val="002E5EAC"/>
    <w:rsid w:val="002F43F7"/>
    <w:rsid w:val="00311BF2"/>
    <w:rsid w:val="0032025E"/>
    <w:rsid w:val="00326CDF"/>
    <w:rsid w:val="00327DDD"/>
    <w:rsid w:val="00333C1B"/>
    <w:rsid w:val="00343E5E"/>
    <w:rsid w:val="0035089C"/>
    <w:rsid w:val="003640EA"/>
    <w:rsid w:val="00367C1B"/>
    <w:rsid w:val="00370D89"/>
    <w:rsid w:val="00380EF5"/>
    <w:rsid w:val="003A035B"/>
    <w:rsid w:val="003A3CB0"/>
    <w:rsid w:val="003B154F"/>
    <w:rsid w:val="003C3639"/>
    <w:rsid w:val="003D6C18"/>
    <w:rsid w:val="003E4D25"/>
    <w:rsid w:val="00403487"/>
    <w:rsid w:val="0041624C"/>
    <w:rsid w:val="00420D5D"/>
    <w:rsid w:val="004323D4"/>
    <w:rsid w:val="00447E62"/>
    <w:rsid w:val="00460D37"/>
    <w:rsid w:val="004763DA"/>
    <w:rsid w:val="004D05CF"/>
    <w:rsid w:val="004E0126"/>
    <w:rsid w:val="004E0B0C"/>
    <w:rsid w:val="004F16ED"/>
    <w:rsid w:val="004F4551"/>
    <w:rsid w:val="00507A23"/>
    <w:rsid w:val="00510C78"/>
    <w:rsid w:val="005279BC"/>
    <w:rsid w:val="00550D2D"/>
    <w:rsid w:val="00553F33"/>
    <w:rsid w:val="00557247"/>
    <w:rsid w:val="005572FA"/>
    <w:rsid w:val="005650CB"/>
    <w:rsid w:val="00586283"/>
    <w:rsid w:val="005B3386"/>
    <w:rsid w:val="005C640D"/>
    <w:rsid w:val="005D579C"/>
    <w:rsid w:val="005D6841"/>
    <w:rsid w:val="0060007B"/>
    <w:rsid w:val="00601586"/>
    <w:rsid w:val="006039B8"/>
    <w:rsid w:val="00632A1B"/>
    <w:rsid w:val="00632B54"/>
    <w:rsid w:val="006504BB"/>
    <w:rsid w:val="006614E1"/>
    <w:rsid w:val="006A42EF"/>
    <w:rsid w:val="006B790B"/>
    <w:rsid w:val="006C29DE"/>
    <w:rsid w:val="006E4BF6"/>
    <w:rsid w:val="006F237E"/>
    <w:rsid w:val="00704F12"/>
    <w:rsid w:val="00705FA7"/>
    <w:rsid w:val="007268FE"/>
    <w:rsid w:val="007409C7"/>
    <w:rsid w:val="00743F3E"/>
    <w:rsid w:val="0074693D"/>
    <w:rsid w:val="00753061"/>
    <w:rsid w:val="00757EB3"/>
    <w:rsid w:val="00776081"/>
    <w:rsid w:val="00796D9D"/>
    <w:rsid w:val="007D5150"/>
    <w:rsid w:val="007E1B8E"/>
    <w:rsid w:val="0080289D"/>
    <w:rsid w:val="00813B5A"/>
    <w:rsid w:val="008227DB"/>
    <w:rsid w:val="00853F91"/>
    <w:rsid w:val="00883214"/>
    <w:rsid w:val="008A1AC1"/>
    <w:rsid w:val="008A6E44"/>
    <w:rsid w:val="008B2B05"/>
    <w:rsid w:val="008C77EF"/>
    <w:rsid w:val="008D3466"/>
    <w:rsid w:val="00913029"/>
    <w:rsid w:val="00952350"/>
    <w:rsid w:val="00964AFF"/>
    <w:rsid w:val="009C5FD4"/>
    <w:rsid w:val="009D355B"/>
    <w:rsid w:val="00A11C28"/>
    <w:rsid w:val="00A1735C"/>
    <w:rsid w:val="00A9259F"/>
    <w:rsid w:val="00AB1981"/>
    <w:rsid w:val="00AC7253"/>
    <w:rsid w:val="00AE546F"/>
    <w:rsid w:val="00B10CE0"/>
    <w:rsid w:val="00B14716"/>
    <w:rsid w:val="00B219B2"/>
    <w:rsid w:val="00B3664B"/>
    <w:rsid w:val="00B53543"/>
    <w:rsid w:val="00B54DA6"/>
    <w:rsid w:val="00B94396"/>
    <w:rsid w:val="00B9676F"/>
    <w:rsid w:val="00B96D5D"/>
    <w:rsid w:val="00BB20E7"/>
    <w:rsid w:val="00BB2595"/>
    <w:rsid w:val="00BD1330"/>
    <w:rsid w:val="00BD1F72"/>
    <w:rsid w:val="00BE28F5"/>
    <w:rsid w:val="00BE68A1"/>
    <w:rsid w:val="00C22D59"/>
    <w:rsid w:val="00C2615B"/>
    <w:rsid w:val="00C5252C"/>
    <w:rsid w:val="00C95433"/>
    <w:rsid w:val="00CC7A0E"/>
    <w:rsid w:val="00CD28F3"/>
    <w:rsid w:val="00CD6738"/>
    <w:rsid w:val="00CE20B0"/>
    <w:rsid w:val="00CE43B4"/>
    <w:rsid w:val="00D03861"/>
    <w:rsid w:val="00D52013"/>
    <w:rsid w:val="00DA7DFC"/>
    <w:rsid w:val="00DB0B24"/>
    <w:rsid w:val="00DB4B55"/>
    <w:rsid w:val="00DD23DB"/>
    <w:rsid w:val="00DE3E70"/>
    <w:rsid w:val="00DF6A20"/>
    <w:rsid w:val="00E0641C"/>
    <w:rsid w:val="00E13110"/>
    <w:rsid w:val="00E21A56"/>
    <w:rsid w:val="00E253D4"/>
    <w:rsid w:val="00E33821"/>
    <w:rsid w:val="00E43E33"/>
    <w:rsid w:val="00E43EFA"/>
    <w:rsid w:val="00E65ADD"/>
    <w:rsid w:val="00E66B8E"/>
    <w:rsid w:val="00E8218D"/>
    <w:rsid w:val="00E86D93"/>
    <w:rsid w:val="00EC29B9"/>
    <w:rsid w:val="00EE15AF"/>
    <w:rsid w:val="00F11B24"/>
    <w:rsid w:val="00F27179"/>
    <w:rsid w:val="00F3276B"/>
    <w:rsid w:val="00FA4F72"/>
    <w:rsid w:val="00FD19F4"/>
    <w:rsid w:val="00FD528E"/>
    <w:rsid w:val="00FF0039"/>
    <w:rsid w:val="01137264"/>
    <w:rsid w:val="01336F95"/>
    <w:rsid w:val="04D57FF5"/>
    <w:rsid w:val="05E1374C"/>
    <w:rsid w:val="073F20DE"/>
    <w:rsid w:val="075E13F2"/>
    <w:rsid w:val="09A82C7A"/>
    <w:rsid w:val="0AD63339"/>
    <w:rsid w:val="0B0E01BB"/>
    <w:rsid w:val="0B377008"/>
    <w:rsid w:val="0B40365E"/>
    <w:rsid w:val="0C6D1FDE"/>
    <w:rsid w:val="0E1A5BA6"/>
    <w:rsid w:val="12496EC0"/>
    <w:rsid w:val="128D00FD"/>
    <w:rsid w:val="163076BA"/>
    <w:rsid w:val="18442084"/>
    <w:rsid w:val="1A966FBD"/>
    <w:rsid w:val="1BDD3F16"/>
    <w:rsid w:val="200D0E91"/>
    <w:rsid w:val="244F30A5"/>
    <w:rsid w:val="24A00BE0"/>
    <w:rsid w:val="289D6E59"/>
    <w:rsid w:val="2952432E"/>
    <w:rsid w:val="29A6399A"/>
    <w:rsid w:val="2BFB19F0"/>
    <w:rsid w:val="2D2F7C78"/>
    <w:rsid w:val="2F9D4466"/>
    <w:rsid w:val="301A7802"/>
    <w:rsid w:val="3137559D"/>
    <w:rsid w:val="31457242"/>
    <w:rsid w:val="32FB6228"/>
    <w:rsid w:val="363B7DE2"/>
    <w:rsid w:val="374404C5"/>
    <w:rsid w:val="392C7305"/>
    <w:rsid w:val="39C1586A"/>
    <w:rsid w:val="3BDC424A"/>
    <w:rsid w:val="3EF06525"/>
    <w:rsid w:val="417C2015"/>
    <w:rsid w:val="417D34DB"/>
    <w:rsid w:val="41F1362D"/>
    <w:rsid w:val="42C51395"/>
    <w:rsid w:val="47101255"/>
    <w:rsid w:val="47EB6C49"/>
    <w:rsid w:val="488278A3"/>
    <w:rsid w:val="4A3467ED"/>
    <w:rsid w:val="4DAD03D4"/>
    <w:rsid w:val="4DC826A4"/>
    <w:rsid w:val="506202D5"/>
    <w:rsid w:val="5070485E"/>
    <w:rsid w:val="517308C3"/>
    <w:rsid w:val="52150B25"/>
    <w:rsid w:val="523320A0"/>
    <w:rsid w:val="532F15BF"/>
    <w:rsid w:val="537E33FE"/>
    <w:rsid w:val="55E905B1"/>
    <w:rsid w:val="56460C90"/>
    <w:rsid w:val="569F3C68"/>
    <w:rsid w:val="57772AF0"/>
    <w:rsid w:val="583A7E71"/>
    <w:rsid w:val="5A0B14EC"/>
    <w:rsid w:val="5A9C161D"/>
    <w:rsid w:val="5B05277D"/>
    <w:rsid w:val="5D0F4289"/>
    <w:rsid w:val="60F80248"/>
    <w:rsid w:val="61EC494B"/>
    <w:rsid w:val="64BC497A"/>
    <w:rsid w:val="652543F7"/>
    <w:rsid w:val="66E876DF"/>
    <w:rsid w:val="66FB683C"/>
    <w:rsid w:val="68985147"/>
    <w:rsid w:val="69500B20"/>
    <w:rsid w:val="69980D9D"/>
    <w:rsid w:val="6BA1045F"/>
    <w:rsid w:val="6C4453D3"/>
    <w:rsid w:val="6D96293E"/>
    <w:rsid w:val="6DE265AD"/>
    <w:rsid w:val="6E533859"/>
    <w:rsid w:val="6F76619A"/>
    <w:rsid w:val="6FAC7494"/>
    <w:rsid w:val="70986C8E"/>
    <w:rsid w:val="70DB1EBF"/>
    <w:rsid w:val="71872EF4"/>
    <w:rsid w:val="72013F2D"/>
    <w:rsid w:val="760B564A"/>
    <w:rsid w:val="772D73C3"/>
    <w:rsid w:val="775D5855"/>
    <w:rsid w:val="77941422"/>
    <w:rsid w:val="783B0801"/>
    <w:rsid w:val="78FA3296"/>
    <w:rsid w:val="7B5A2AAD"/>
    <w:rsid w:val="7E415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9"/>
    <w:uiPriority w:val="0"/>
    <w:rPr>
      <w:rFonts w:ascii="宋体"/>
      <w:sz w:val="18"/>
      <w:szCs w:val="18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7"/>
    <w:qFormat/>
    <w:uiPriority w:val="0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qFormat/>
    <w:uiPriority w:val="0"/>
  </w:style>
  <w:style w:type="paragraph" w:styleId="8">
    <w:name w:val="toc 2"/>
    <w:basedOn w:val="1"/>
    <w:next w:val="1"/>
    <w:qFormat/>
    <w:uiPriority w:val="0"/>
    <w:pPr>
      <w:ind w:left="420" w:leftChars="200"/>
    </w:pPr>
  </w:style>
  <w:style w:type="character" w:styleId="11">
    <w:name w:val="FollowedHyperlink"/>
    <w:basedOn w:val="10"/>
    <w:qFormat/>
    <w:uiPriority w:val="0"/>
    <w:rPr>
      <w:color w:val="800080"/>
      <w:u w:val="none"/>
    </w:rPr>
  </w:style>
  <w:style w:type="character" w:styleId="12">
    <w:name w:val="Hyperlink"/>
    <w:basedOn w:val="10"/>
    <w:qFormat/>
    <w:uiPriority w:val="0"/>
    <w:rPr>
      <w:color w:val="0000FF"/>
      <w:u w:val="non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99"/>
    <w:pPr>
      <w:ind w:firstLine="420" w:firstLineChars="200"/>
    </w:pPr>
  </w:style>
  <w:style w:type="character" w:customStyle="1" w:styleId="15">
    <w:name w:val="页眉 Char"/>
    <w:basedOn w:val="10"/>
    <w:link w:val="6"/>
    <w:qFormat/>
    <w:uiPriority w:val="0"/>
    <w:rPr>
      <w:kern w:val="2"/>
      <w:sz w:val="18"/>
      <w:szCs w:val="18"/>
    </w:rPr>
  </w:style>
  <w:style w:type="character" w:customStyle="1" w:styleId="16">
    <w:name w:val="页脚 Char"/>
    <w:basedOn w:val="10"/>
    <w:link w:val="5"/>
    <w:qFormat/>
    <w:uiPriority w:val="99"/>
    <w:rPr>
      <w:kern w:val="2"/>
      <w:sz w:val="18"/>
      <w:szCs w:val="18"/>
    </w:rPr>
  </w:style>
  <w:style w:type="character" w:customStyle="1" w:styleId="17">
    <w:name w:val="批注框文本 Char"/>
    <w:basedOn w:val="10"/>
    <w:link w:val="4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18">
    <w:name w:val="列出段落1"/>
    <w:basedOn w:val="1"/>
    <w:qFormat/>
    <w:uiPriority w:val="99"/>
    <w:pPr>
      <w:ind w:firstLine="420" w:firstLineChars="200"/>
    </w:pPr>
  </w:style>
  <w:style w:type="character" w:customStyle="1" w:styleId="19">
    <w:name w:val="文档结构图 Char"/>
    <w:basedOn w:val="10"/>
    <w:link w:val="2"/>
    <w:uiPriority w:val="0"/>
    <w:rPr>
      <w:rFonts w:ascii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header" Target="header2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3.emf"/><Relationship Id="rId36" Type="http://schemas.openxmlformats.org/officeDocument/2006/relationships/chart" Target="charts/chart5.xml"/><Relationship Id="rId35" Type="http://schemas.openxmlformats.org/officeDocument/2006/relationships/image" Target="media/image22.emf"/><Relationship Id="rId34" Type="http://schemas.openxmlformats.org/officeDocument/2006/relationships/image" Target="media/image21.emf"/><Relationship Id="rId33" Type="http://schemas.openxmlformats.org/officeDocument/2006/relationships/image" Target="media/image20.emf"/><Relationship Id="rId32" Type="http://schemas.openxmlformats.org/officeDocument/2006/relationships/image" Target="media/image19.png"/><Relationship Id="rId31" Type="http://schemas.openxmlformats.org/officeDocument/2006/relationships/chart" Target="charts/chart4.xml"/><Relationship Id="rId30" Type="http://schemas.openxmlformats.org/officeDocument/2006/relationships/image" Target="media/image18.png"/><Relationship Id="rId3" Type="http://schemas.openxmlformats.org/officeDocument/2006/relationships/header" Target="header1.xml"/><Relationship Id="rId29" Type="http://schemas.openxmlformats.org/officeDocument/2006/relationships/image" Target="media/image17.emf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chart" Target="charts/chart3.xml"/><Relationship Id="rId20" Type="http://schemas.openxmlformats.org/officeDocument/2006/relationships/image" Target="media/image9.emf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chart" Target="charts/chart2.xml"/><Relationship Id="rId14" Type="http://schemas.openxmlformats.org/officeDocument/2006/relationships/image" Target="media/image4.emf"/><Relationship Id="rId13" Type="http://schemas.openxmlformats.org/officeDocument/2006/relationships/image" Target="media/image3.emf"/><Relationship Id="rId12" Type="http://schemas.openxmlformats.org/officeDocument/2006/relationships/image" Target="media/image2.emf"/><Relationship Id="rId11" Type="http://schemas.openxmlformats.org/officeDocument/2006/relationships/image" Target="media/image1.png"/><Relationship Id="rId10" Type="http://schemas.openxmlformats.org/officeDocument/2006/relationships/chart" Target="charts/chart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1.png"/><Relationship Id="rId2" Type="http://schemas.openxmlformats.org/officeDocument/2006/relationships/themeOverride" Target="../theme/themeOverride4.xml"/><Relationship Id="rId1" Type="http://schemas.openxmlformats.org/officeDocument/2006/relationships/oleObject" Target="file:///C:\Users\WTT\Desktop\&#23601;&#19994;&#20998;&#26512;\2020&#24180;&#26412;&#31185;&#27605;&#19994;&#29983;&#23601;&#19994;&#36136;&#37327;&#25253;&#21578;\&#20848;&#32769;&#24072;&#36164;&#26009;\&#33609;&#31295;\&#31532;&#19968;&#31456;\1.1-2%20&#24635;&#20307;&#35268;&#27169;+&#24615;&#21035;&#26500;&#25104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30.png"/><Relationship Id="rId2" Type="http://schemas.openxmlformats.org/officeDocument/2006/relationships/themeOverride" Target="../theme/themeOverride3.xml"/><Relationship Id="rId1" Type="http://schemas.openxmlformats.org/officeDocument/2006/relationships/oleObject" Target="file:///C:\Users\WTT\Desktop\&#23601;&#19994;&#20998;&#26512;\2020&#24180;&#26412;&#31185;&#27605;&#19994;&#29983;&#23601;&#19994;&#36136;&#37327;&#25253;&#21578;\&#20848;&#32769;&#24072;&#36164;&#26009;\&#33609;&#31295;\&#31532;&#19968;&#31456;\1.4-6%20&#19987;&#19994;+&#27665;&#26063;+&#22256;&#38590;&#27605;&#19994;&#29983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9.png"/><Relationship Id="rId2" Type="http://schemas.openxmlformats.org/officeDocument/2006/relationships/themeOverride" Target="../theme/themeOverride2.xml"/><Relationship Id="rId1" Type="http://schemas.openxmlformats.org/officeDocument/2006/relationships/oleObject" Target="file:///C:\Users\WTT\Desktop\&#23601;&#19994;&#20998;&#26512;\2020&#24180;&#26412;&#31185;&#27605;&#19994;&#29983;&#23601;&#19994;&#36136;&#37327;&#25253;&#21578;\&#20848;&#32769;&#24072;&#36164;&#26009;\&#33609;&#31295;\&#31532;&#20108;&#31456;\2.1.1-3%20&#25972;&#20307;&#26368;&#32456;&#23601;&#19994;&#29575;+&#20998;&#19987;&#19994;&#23601;&#19994;&#29575;+&#22806;&#35821;&#3186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WTT\Desktop\&#23601;&#19994;&#20998;&#26512;\2020&#24180;&#26412;&#31185;&#27605;&#19994;&#29983;&#23601;&#19994;&#36136;&#37327;&#25253;&#21578;\&#20848;&#32769;&#24072;&#36164;&#26009;\&#33609;&#31295;\&#31532;&#20108;&#31456;\2.2.3%20&#21333;&#20301;&#24615;&#36136;.xlsx" TargetMode="External"/></Relationships>
</file>

<file path=word/charts/_rels/chart5.xml.rels><?xml version="1.0" encoding="UTF-8" standalone="yes"?>
<Relationships xmlns="http://schemas.openxmlformats.org/package/2006/relationships"><Relationship Id="rId7" Type="http://schemas.openxmlformats.org/officeDocument/2006/relationships/image" Target="../media/image28.png"/><Relationship Id="rId6" Type="http://schemas.openxmlformats.org/officeDocument/2006/relationships/image" Target="../media/image27.png"/><Relationship Id="rId5" Type="http://schemas.openxmlformats.org/officeDocument/2006/relationships/image" Target="../media/image26.png"/><Relationship Id="rId4" Type="http://schemas.openxmlformats.org/officeDocument/2006/relationships/image" Target="../media/image25.png"/><Relationship Id="rId3" Type="http://schemas.openxmlformats.org/officeDocument/2006/relationships/image" Target="../media/image24.png"/><Relationship Id="rId2" Type="http://schemas.openxmlformats.org/officeDocument/2006/relationships/themeOverride" Target="../theme/themeOverride1.xml"/><Relationship Id="rId1" Type="http://schemas.openxmlformats.org/officeDocument/2006/relationships/oleObject" Target="file:///C:\Users\WTT\Desktop\&#23601;&#19994;&#20998;&#26512;\2020&#24180;&#26412;&#31185;&#27605;&#19994;&#29983;&#23601;&#19994;&#36136;&#37327;&#25253;&#21578;\&#20848;&#32769;&#24072;&#36164;&#26009;\&#33609;&#31295;\&#31532;&#20108;&#31456;\2.2.7%20&#22522;&#23618;&#23601;&#1999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1" i="0" u="none" strike="noStrike" kern="1200" spc="0" baseline="0">
                <a:solidFill>
                  <a:srgbClr val="27B9AB"/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defRPr>
            </a:pPr>
            <a:r>
              <a:rPr lang="zh-CN" altLang="en-US" sz="1200" b="0">
                <a:solidFill>
                  <a:sysClr val="windowText" lastClr="000000"/>
                </a:solidFill>
              </a:rPr>
              <a:t>图</a:t>
            </a:r>
            <a:r>
              <a:rPr lang="en-US" altLang="zh-CN" sz="1200" b="0">
                <a:solidFill>
                  <a:sysClr val="windowText" lastClr="000000"/>
                </a:solidFill>
              </a:rPr>
              <a:t>1 2018-2020</a:t>
            </a:r>
            <a:r>
              <a:rPr lang="zh-CN" altLang="en-US" sz="1200" b="0">
                <a:solidFill>
                  <a:sysClr val="windowText" lastClr="000000"/>
                </a:solidFill>
              </a:rPr>
              <a:t>届本科毕业生人数</a:t>
            </a:r>
            <a:endParaRPr lang="zh-CN" altLang="en-US" sz="1200" b="0">
              <a:solidFill>
                <a:sysClr val="windowText" lastClr="000000"/>
              </a:solidFill>
            </a:endParaRPr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00173727114794"/>
          <c:y val="0.248982360922659"/>
          <c:w val="0.829934518241347"/>
          <c:h val="0.622885572139304"/>
        </c:manualLayout>
      </c:layout>
      <c:lineChart>
        <c:grouping val="standard"/>
        <c:varyColors val="0"/>
        <c:ser>
          <c:idx val="0"/>
          <c:order val="0"/>
          <c:spPr>
            <a:ln w="25400" cap="rnd" cmpd="sng" algn="ctr">
              <a:solidFill>
                <a:srgbClr val="29B6C8"/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/>
              <a:lstStyle/>
              <a:p>
                <a:pPr>
                  <a:defRPr lang="zh-CN" sz="900" b="0" i="0" u="none" strike="noStrike" kern="1200" cap="none" spc="0" normalizeH="0" baseline="0">
                    <a:solidFill>
                      <a:schemeClr val="tx1"/>
                    </a:solidFill>
                    <a:uFill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uFill>
                    <a:latin typeface="微软雅黑" panose="020B0503020204020204" pitchFamily="2" charset="-122"/>
                    <a:ea typeface="微软雅黑" panose="020B0503020204020204" pitchFamily="2" charset="-122"/>
                    <a:cs typeface="微软雅黑" panose="020B0503020204020204" pitchFamily="2" charset="-122"/>
                    <a:sym typeface="微软雅黑" panose="020B0503020204020204" pitchFamily="2" charset="-122"/>
                  </a:defRPr>
                </a:pPr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'[1.1-2 总体规模+性别构成.xlsx]Sheet1'!$A$2:$A$4</c:f>
              <c:strCache>
                <c:ptCount val="3"/>
                <c:pt idx="0">
                  <c:v>2018届</c:v>
                </c:pt>
                <c:pt idx="1">
                  <c:v>2019届</c:v>
                </c:pt>
                <c:pt idx="2">
                  <c:v>2020届</c:v>
                </c:pt>
              </c:strCache>
            </c:strRef>
          </c:cat>
          <c:val>
            <c:numRef>
              <c:f>'[1.1-2 总体规模+性别构成.xlsx]Sheet1'!$B$2:$B$4</c:f>
              <c:numCache>
                <c:formatCode>General</c:formatCode>
                <c:ptCount val="3"/>
                <c:pt idx="0">
                  <c:v>3220</c:v>
                </c:pt>
                <c:pt idx="1">
                  <c:v>3346</c:v>
                </c:pt>
                <c:pt idx="2">
                  <c:v>3274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0"/>
        <c:smooth val="0"/>
        <c:axId val="194174336"/>
        <c:axId val="194204800"/>
      </c:lineChart>
      <c:catAx>
        <c:axId val="19417433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defRPr>
            </a:pPr>
          </a:p>
        </c:txPr>
        <c:crossAx val="194204800"/>
        <c:crosses val="autoZero"/>
        <c:auto val="1"/>
        <c:lblAlgn val="ctr"/>
        <c:lblOffset val="100"/>
        <c:noMultiLvlLbl val="0"/>
      </c:catAx>
      <c:valAx>
        <c:axId val="194204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95000"/>
                </a:schemeClr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cap="none" spc="0" normalizeH="0" baseline="0">
                <a:solidFill>
                  <a:schemeClr val="tx1"/>
                </a:solidFill>
                <a:uFill>
                  <a:solidFill>
                    <a:schemeClr val="tx1">
                      <a:lumMod val="65000"/>
                      <a:lumOff val="35000"/>
                    </a:schemeClr>
                  </a:solidFill>
                </a:uFill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defRPr>
            </a:pPr>
          </a:p>
        </c:txPr>
        <c:crossAx val="1941743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blipFill rotWithShape="1">
      <a:blip xmlns:r="http://schemas.openxmlformats.org/officeDocument/2006/relationships" r:embed="rId3"/>
      <a:stretch>
        <a:fillRect/>
      </a:stretch>
    </a:blipFill>
    <a:ln w="9525" cap="flat" cmpd="sng" algn="ctr">
      <a:noFill/>
      <a:prstDash val="solid"/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>
          <a:latin typeface="微软雅黑" panose="020B0503020204020204" pitchFamily="2" charset="-122"/>
          <a:ea typeface="微软雅黑" panose="020B0503020204020204" pitchFamily="2" charset="-122"/>
          <a:cs typeface="微软雅黑" panose="020B0503020204020204" pitchFamily="2" charset="-122"/>
          <a:sym typeface="微软雅黑" panose="020B0503020204020204" pitchFamily="2" charset="-122"/>
        </a:defRPr>
      </a:pPr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defRPr>
            </a:pPr>
            <a:r>
              <a:rPr lang="zh-CN" altLang="en-US" sz="1200" b="0"/>
              <a:t>图</a:t>
            </a:r>
            <a:r>
              <a:rPr lang="en-US" altLang="zh-CN" sz="1200" b="0"/>
              <a:t>3</a:t>
            </a:r>
            <a:r>
              <a:rPr lang="zh-CN" altLang="en-US" sz="1200" b="0"/>
              <a:t> </a:t>
            </a:r>
            <a:r>
              <a:rPr lang="en-US" altLang="zh-CN" sz="1200" b="0"/>
              <a:t>2020</a:t>
            </a:r>
            <a:r>
              <a:rPr lang="zh-CN" altLang="en-US" sz="1200" b="0"/>
              <a:t>届本科毕业生各类专业人数比</a:t>
            </a:r>
            <a:endParaRPr lang="zh-CN" altLang="en-US" sz="1200" b="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2663370306027"/>
          <c:y val="0.185309220808216"/>
          <c:w val="0.427635974876386"/>
          <c:h val="0.714445188658183"/>
        </c:manualLayout>
      </c:layout>
      <c:pieChart>
        <c:varyColors val="1"/>
        <c:ser>
          <c:idx val="0"/>
          <c:order val="0"/>
          <c:explosion val="10"/>
          <c:dPt>
            <c:idx val="0"/>
            <c:bubble3D val="0"/>
            <c:spPr>
              <a:solidFill>
                <a:srgbClr val="C877D9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rgbClr val="E2C65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rgbClr val="00C8B8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bubble3D val="0"/>
            <c:spPr>
              <a:solidFill>
                <a:srgbClr val="4C91C6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3"/>
              <c:layout>
                <c:manualLayout>
                  <c:x val="0.168578541383086"/>
                  <c:y val="0.113564524890336"/>
                </c:manualLayout>
              </c:layout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separator> </c:separator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微软雅黑" panose="020B0503020204020204" pitchFamily="2" charset="-122"/>
                    <a:ea typeface="微软雅黑" panose="020B0503020204020204" pitchFamily="2" charset="-122"/>
                    <a:cs typeface="微软雅黑" panose="020B0503020204020204" pitchFamily="2" charset="-122"/>
                    <a:sym typeface="微软雅黑" panose="020B0503020204020204" pitchFamily="2" charset="-122"/>
                  </a:defRPr>
                </a:pPr>
              </a:p>
            </c:txPr>
            <c:dLblPos val="bestFit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'[1.4-6 专业+民族+困难毕业生.xlsx]Sheet1'!$A$1:$A$4</c:f>
              <c:strCache>
                <c:ptCount val="4"/>
                <c:pt idx="0">
                  <c:v>英语类</c:v>
                </c:pt>
                <c:pt idx="1">
                  <c:v>非英语类外语语种</c:v>
                </c:pt>
                <c:pt idx="2">
                  <c:v>艺术类</c:v>
                </c:pt>
                <c:pt idx="3">
                  <c:v>非外语非艺术类</c:v>
                </c:pt>
              </c:strCache>
            </c:strRef>
          </c:cat>
          <c:val>
            <c:numRef>
              <c:f>'[1.4-6 专业+民族+困难毕业生.xlsx]Sheet1'!$C$1:$C$4</c:f>
              <c:numCache>
                <c:formatCode>0.00%</c:formatCode>
                <c:ptCount val="4"/>
                <c:pt idx="0">
                  <c:v>0.371716554673183</c:v>
                </c:pt>
                <c:pt idx="1">
                  <c:v>0.231826511912034</c:v>
                </c:pt>
                <c:pt idx="2">
                  <c:v>0.0296273671350031</c:v>
                </c:pt>
                <c:pt idx="3">
                  <c:v>0.36682956627978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blipFill rotWithShape="1">
      <a:blip xmlns:r="http://schemas.openxmlformats.org/officeDocument/2006/relationships" r:embed="rId3"/>
      <a:stretch>
        <a:fillRect/>
      </a:stretch>
    </a:blip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>
          <a:latin typeface="微软雅黑" panose="020B0503020204020204" pitchFamily="2" charset="-122"/>
          <a:ea typeface="微软雅黑" panose="020B0503020204020204" pitchFamily="2" charset="-122"/>
          <a:cs typeface="微软雅黑" panose="020B0503020204020204" pitchFamily="2" charset="-122"/>
          <a:sym typeface="微软雅黑" panose="020B0503020204020204" pitchFamily="2" charset="-122"/>
        </a:defRPr>
      </a:pPr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75000"/>
                    <a:lumOff val="25000"/>
                  </a:schemeClr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+mn-cs"/>
              </a:defRPr>
            </a:pPr>
            <a:r>
              <a:rPr lang="zh-CN" altLang="en-US" sz="1200"/>
              <a:t>图</a:t>
            </a:r>
            <a:r>
              <a:rPr lang="en-US" altLang="zh-CN" sz="1200"/>
              <a:t>7</a:t>
            </a:r>
            <a:r>
              <a:rPr lang="zh-CN" altLang="en-US" sz="1200"/>
              <a:t> 外语类、非外语类专业就业率</a:t>
            </a:r>
            <a:endParaRPr lang="zh-CN" altLang="en-US" sz="120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702912457912458"/>
          <c:y val="0.286470361005759"/>
          <c:w val="0.863560395622896"/>
          <c:h val="0.588685559769631"/>
        </c:manualLayout>
      </c:layout>
      <c:barChart>
        <c:barDir val="col"/>
        <c:grouping val="clustered"/>
        <c:varyColors val="0"/>
        <c:ser>
          <c:idx val="1"/>
          <c:order val="0"/>
          <c:spPr>
            <a:solidFill>
              <a:srgbClr val="5B9BD5">
                <a:lumMod val="60000"/>
                <a:lumOff val="40000"/>
              </a:srgbClr>
            </a:solidFill>
            <a:ln w="15875" cap="rnd">
              <a:noFill/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C000">
                  <a:lumMod val="60000"/>
                  <a:lumOff val="40000"/>
                </a:srgbClr>
              </a:solidFill>
              <a:ln w="15875" cap="rnd">
                <a:noFill/>
                <a:round/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 algn="ctr"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微软雅黑" panose="020B0503020204020204" pitchFamily="2" charset="-122"/>
                    <a:ea typeface="微软雅黑" panose="020B0503020204020204" pitchFamily="2" charset="-122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'[2.1.1-3 整体最终就业率+分专业就业率+外语类.xlsx]Sheet1'!$G$16:$G$17</c:f>
              <c:strCache>
                <c:ptCount val="2"/>
                <c:pt idx="0">
                  <c:v>外语类专业</c:v>
                </c:pt>
                <c:pt idx="1">
                  <c:v>非外语类专业</c:v>
                </c:pt>
              </c:strCache>
            </c:strRef>
          </c:cat>
          <c:val>
            <c:numRef>
              <c:f>'[2.1.1-3 整体最终就业率+分专业就业率+外语类.xlsx]Sheet1'!$J$16:$J$17</c:f>
              <c:numCache>
                <c:formatCode>0.00%</c:formatCode>
                <c:ptCount val="2"/>
                <c:pt idx="0">
                  <c:v>0.810728744939271</c:v>
                </c:pt>
                <c:pt idx="1">
                  <c:v>0.842835130970724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0"/>
        <c:overlap val="-50"/>
        <c:axId val="137475584"/>
        <c:axId val="137477120"/>
      </c:barChart>
      <c:catAx>
        <c:axId val="137475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noFill/>
            <a:prstDash val="solid"/>
            <a:round/>
          </a:ln>
          <a:effectLst/>
        </c:spPr>
        <c:txPr>
          <a:bodyPr rot="-60000000" spcFirstLastPara="0" vertOverflow="ellipsis" vert="horz" wrap="square" anchor="ctr" anchorCtr="1" forceAA="0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+mn-cs"/>
              </a:defRPr>
            </a:pPr>
          </a:p>
        </c:txPr>
        <c:crossAx val="137477120"/>
        <c:crosses val="autoZero"/>
        <c:auto val="1"/>
        <c:lblAlgn val="ctr"/>
        <c:lblOffset val="10"/>
        <c:noMultiLvlLbl val="0"/>
      </c:catAx>
      <c:valAx>
        <c:axId val="137477120"/>
        <c:scaling>
          <c:orientation val="minMax"/>
        </c:scaling>
        <c:delete val="1"/>
        <c:axPos val="l"/>
        <c:numFmt formatCode="0.00%" sourceLinked="1"/>
        <c:majorTickMark val="none"/>
        <c:minorTickMark val="none"/>
        <c:tickLblPos val="none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>
                    <a:lumMod val="75000"/>
                    <a:lumOff val="25000"/>
                  </a:schemeClr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+mn-cs"/>
              </a:defRPr>
            </a:pPr>
          </a:p>
        </c:txPr>
        <c:crossAx val="137475584"/>
        <c:crosses val="autoZero"/>
        <c:crossBetween val="between"/>
      </c:valAx>
      <c:spPr>
        <a:solidFill>
          <a:schemeClr val="bg1"/>
        </a:solidFill>
        <a:ln>
          <a:noFill/>
        </a:ln>
        <a:effectLst>
          <a:outerShdw blurRad="50800" dist="12700" dir="5400000" algn="t" rotWithShape="0">
            <a:prstClr val="black">
              <a:alpha val="35000"/>
            </a:prstClr>
          </a:outerShdw>
        </a:effectLst>
      </c:spPr>
    </c:plotArea>
    <c:plotVisOnly val="1"/>
    <c:dispBlanksAs val="gap"/>
    <c:showDLblsOverMax val="0"/>
  </c:chart>
  <c:spPr>
    <a:blipFill rotWithShape="1">
      <a:blip xmlns:r="http://schemas.openxmlformats.org/officeDocument/2006/relationships" r:embed="rId3"/>
      <a:stretch>
        <a:fillRect/>
      </a:stretch>
    </a:blipFill>
    <a:ln w="9525" cap="flat" cmpd="sng" algn="ctr">
      <a:solidFill>
        <a:schemeClr val="bg1">
          <a:lumMod val="85000"/>
        </a:schemeClr>
      </a:solidFill>
      <a:prstDash val="solid"/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>
          <a:solidFill>
            <a:schemeClr val="tx1">
              <a:lumMod val="75000"/>
              <a:lumOff val="25000"/>
            </a:schemeClr>
          </a:solidFill>
          <a:latin typeface="微软雅黑" panose="020B0503020204020204" pitchFamily="2" charset="-122"/>
          <a:ea typeface="微软雅黑" panose="020B0503020204020204" pitchFamily="2" charset="-122"/>
        </a:defRPr>
      </a:pPr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20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zh-CN" sz="1200"/>
              <a:t>图</a:t>
            </a:r>
            <a:r>
              <a:rPr lang="en-US" altLang="zh-CN" sz="1200"/>
              <a:t>16</a:t>
            </a:r>
            <a:r>
              <a:rPr lang="en-US" sz="1200"/>
              <a:t> </a:t>
            </a:r>
            <a:r>
              <a:rPr lang="zh-CN" sz="1200"/>
              <a:t>签约就业单位性质占比</a:t>
            </a:r>
            <a:endParaRPr lang="zh-CN" sz="120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'[2.2.3 单位性质.xlsx]Sheet1'!$M$1:$M$14</c:f>
              <c:strCache>
                <c:ptCount val="14"/>
                <c:pt idx="0">
                  <c:v>艰苦事业单位</c:v>
                </c:pt>
                <c:pt idx="1">
                  <c:v>医疗卫生单位</c:v>
                </c:pt>
                <c:pt idx="2">
                  <c:v>城镇社区</c:v>
                </c:pt>
                <c:pt idx="3">
                  <c:v>地方基层项目</c:v>
                </c:pt>
                <c:pt idx="4">
                  <c:v>部队</c:v>
                </c:pt>
                <c:pt idx="5">
                  <c:v>科研助理</c:v>
                </c:pt>
                <c:pt idx="6">
                  <c:v>高等教育</c:v>
                </c:pt>
                <c:pt idx="7">
                  <c:v>机关</c:v>
                </c:pt>
                <c:pt idx="8">
                  <c:v>其他事业单位</c:v>
                </c:pt>
                <c:pt idx="9">
                  <c:v>三资企业</c:v>
                </c:pt>
                <c:pt idx="10">
                  <c:v>国家基层项目</c:v>
                </c:pt>
                <c:pt idx="11">
                  <c:v>中初教育</c:v>
                </c:pt>
                <c:pt idx="12">
                  <c:v>国有企业</c:v>
                </c:pt>
                <c:pt idx="13">
                  <c:v>其他企业</c:v>
                </c:pt>
              </c:strCache>
            </c:strRef>
          </c:cat>
          <c:val>
            <c:numRef>
              <c:f>'[2.2.3 单位性质.xlsx]Sheet1'!$N$1:$N$14</c:f>
              <c:numCache>
                <c:formatCode>General</c:formatCode>
                <c:ptCount val="14"/>
                <c:pt idx="0">
                  <c:v>2</c:v>
                </c:pt>
                <c:pt idx="1">
                  <c:v>2</c:v>
                </c:pt>
                <c:pt idx="2">
                  <c:v>4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19</c:v>
                </c:pt>
                <c:pt idx="7">
                  <c:v>19</c:v>
                </c:pt>
                <c:pt idx="8">
                  <c:v>29</c:v>
                </c:pt>
                <c:pt idx="9">
                  <c:v>54</c:v>
                </c:pt>
                <c:pt idx="10">
                  <c:v>60</c:v>
                </c:pt>
                <c:pt idx="11">
                  <c:v>72</c:v>
                </c:pt>
                <c:pt idx="12">
                  <c:v>145</c:v>
                </c:pt>
                <c:pt idx="13">
                  <c:v>1050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269"/>
        <c:axId val="137493888"/>
        <c:axId val="194241664"/>
      </c:barChart>
      <c:catAx>
        <c:axId val="1374938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94241664"/>
        <c:crosses val="autoZero"/>
        <c:auto val="1"/>
        <c:lblAlgn val="ctr"/>
        <c:lblOffset val="100"/>
        <c:noMultiLvlLbl val="0"/>
      </c:catAx>
      <c:valAx>
        <c:axId val="19424166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prstDash val="solid"/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prstDash val="solid"/>
              <a:round/>
            </a:ln>
            <a:effectLst/>
          </c:spPr>
        </c:minorGridlines>
        <c:numFmt formatCode="General" sourceLinked="1"/>
        <c:majorTickMark val="none"/>
        <c:minorTickMark val="none"/>
        <c:tickLblPos val="nextTo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</a:p>
        </c:txPr>
        <c:crossAx val="1374938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/>
  </c:spPr>
  <c:txPr>
    <a:bodyPr/>
    <a:lstStyle/>
    <a:p>
      <a:pPr>
        <a:defRPr lang="zh-CN"/>
      </a:pPr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>
              <a:defRPr lang="zh-CN"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微软雅黑" panose="020B0503020204020204" pitchFamily="2" charset="-122"/>
                <a:ea typeface="微软雅黑" panose="020B0503020204020204" pitchFamily="2" charset="-122"/>
                <a:cs typeface="微软雅黑" panose="020B0503020204020204" pitchFamily="2" charset="-122"/>
                <a:sym typeface="微软雅黑" panose="020B0503020204020204" pitchFamily="2" charset="-122"/>
              </a:defRPr>
            </a:pPr>
            <a:r>
              <a:rPr lang="zh-CN" altLang="en-US" sz="1200" b="0"/>
              <a:t>图</a:t>
            </a:r>
            <a:r>
              <a:rPr lang="en-US" altLang="zh-CN" sz="1200" b="0"/>
              <a:t>18</a:t>
            </a:r>
            <a:r>
              <a:rPr lang="zh-CN" altLang="en-US" sz="1200" b="0"/>
              <a:t> 参加各类基层项目占比</a:t>
            </a:r>
            <a:endParaRPr lang="zh-CN" altLang="en-US" sz="1200" b="0"/>
          </a:p>
        </c:rich>
      </c:tx>
      <c:layout/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0625417613256715"/>
          <c:y val="0.248939495423086"/>
          <c:w val="0.887478284110651"/>
          <c:h val="0.6361687876758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>
              <a:outerShdw blurRad="38100" dist="38100" dir="18900000" algn="bl" rotWithShape="0">
                <a:schemeClr val="tx1">
                  <a:lumMod val="65000"/>
                  <a:lumOff val="35000"/>
                  <a:alpha val="46000"/>
                </a:schemeClr>
              </a:outerShdw>
            </a:effectLst>
          </c:spPr>
          <c:invertIfNegative val="0"/>
          <c:dPt>
            <c:idx val="0"/>
            <c:invertIfNegative val="0"/>
            <c:bubble3D val="0"/>
            <c:spPr>
              <a:blipFill rotWithShape="1">
                <a:blip xmlns:r="http://schemas.openxmlformats.org/officeDocument/2006/relationships" r:embed="rId3"/>
                <a:stretch>
                  <a:fillRect/>
                </a:stretch>
              </a:blipFill>
              <a:ln>
                <a:noFill/>
              </a:ln>
              <a:effectLst>
                <a:outerShdw blurRad="38100" dist="38100" dir="18900000" algn="bl" rotWithShape="0">
                  <a:schemeClr val="tx1">
                    <a:lumMod val="65000"/>
                    <a:lumOff val="35000"/>
                    <a:alpha val="46000"/>
                  </a:schemeClr>
                </a:outerShdw>
              </a:effectLst>
            </c:spPr>
          </c:dPt>
          <c:dPt>
            <c:idx val="1"/>
            <c:invertIfNegative val="0"/>
            <c:bubble3D val="0"/>
            <c:spPr>
              <a:blipFill rotWithShape="1">
                <a:blip xmlns:r="http://schemas.openxmlformats.org/officeDocument/2006/relationships" r:embed="rId4"/>
                <a:stretch>
                  <a:fillRect/>
                </a:stretch>
              </a:blipFill>
              <a:ln>
                <a:noFill/>
              </a:ln>
              <a:effectLst>
                <a:outerShdw blurRad="38100" dist="38100" dir="18900000" algn="bl" rotWithShape="0">
                  <a:schemeClr val="tx1">
                    <a:lumMod val="65000"/>
                    <a:lumOff val="35000"/>
                    <a:alpha val="46000"/>
                  </a:schemeClr>
                </a:outerShdw>
              </a:effectLst>
            </c:spPr>
          </c:dPt>
          <c:dPt>
            <c:idx val="2"/>
            <c:invertIfNegative val="0"/>
            <c:bubble3D val="0"/>
            <c:spPr>
              <a:blipFill rotWithShape="1">
                <a:blip xmlns:r="http://schemas.openxmlformats.org/officeDocument/2006/relationships" r:embed="rId5"/>
                <a:stretch>
                  <a:fillRect/>
                </a:stretch>
              </a:blipFill>
              <a:ln>
                <a:noFill/>
              </a:ln>
              <a:effectLst>
                <a:outerShdw blurRad="38100" dist="38100" dir="18900000" algn="bl" rotWithShape="0">
                  <a:schemeClr val="tx1">
                    <a:lumMod val="65000"/>
                    <a:lumOff val="35000"/>
                    <a:alpha val="46000"/>
                  </a:schemeClr>
                </a:outerShdw>
              </a:effectLst>
            </c:spPr>
          </c:dPt>
          <c:dPt>
            <c:idx val="3"/>
            <c:invertIfNegative val="0"/>
            <c:bubble3D val="0"/>
            <c:spPr>
              <a:blipFill rotWithShape="1">
                <a:blip xmlns:r="http://schemas.openxmlformats.org/officeDocument/2006/relationships" r:embed="rId6"/>
                <a:stretch>
                  <a:fillRect/>
                </a:stretch>
              </a:blipFill>
              <a:ln>
                <a:noFill/>
              </a:ln>
              <a:effectLst>
                <a:outerShdw blurRad="38100" dist="38100" dir="18900000" algn="bl" rotWithShape="0">
                  <a:schemeClr val="tx1">
                    <a:lumMod val="65000"/>
                    <a:lumOff val="35000"/>
                    <a:alpha val="46000"/>
                  </a:schemeClr>
                </a:outerShdw>
              </a:effectLst>
            </c:spPr>
          </c:dPt>
          <c:dPt>
            <c:idx val="4"/>
            <c:invertIfNegative val="0"/>
            <c:bubble3D val="0"/>
            <c:spPr>
              <a:blipFill rotWithShape="1">
                <a:blip xmlns:r="http://schemas.openxmlformats.org/officeDocument/2006/relationships" r:embed="rId7"/>
                <a:stretch>
                  <a:fillRect/>
                </a:stretch>
              </a:blipFill>
              <a:ln>
                <a:noFill/>
              </a:ln>
              <a:effectLst>
                <a:outerShdw blurRad="38100" dist="38100" dir="18900000" algn="bl" rotWithShape="0">
                  <a:schemeClr val="tx1">
                    <a:lumMod val="65000"/>
                    <a:lumOff val="35000"/>
                    <a:alpha val="46000"/>
                  </a:schemeClr>
                </a:outerShdw>
              </a:effectLst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>
                  <a:defRPr lang="zh-CN"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微软雅黑" panose="020B0503020204020204" pitchFamily="2" charset="-122"/>
                    <a:ea typeface="微软雅黑" panose="020B0503020204020204" pitchFamily="2" charset="-122"/>
                    <a:cs typeface="微软雅黑" panose="020B0503020204020204" pitchFamily="2" charset="-122"/>
                    <a:sym typeface="微软雅黑" panose="020B0503020204020204" pitchFamily="2" charset="-122"/>
                  </a:defRPr>
                </a:pPr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eparator>;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'[2.2.7 基层就业.xlsx]Sheet2'!$D$4:$D$8</c:f>
              <c:strCache>
                <c:ptCount val="5"/>
                <c:pt idx="0">
                  <c:v>志愿服务西部计划</c:v>
                </c:pt>
                <c:pt idx="1">
                  <c:v>选调生</c:v>
                </c:pt>
                <c:pt idx="2">
                  <c:v>农技特岗</c:v>
                </c:pt>
                <c:pt idx="3">
                  <c:v>三支一扶</c:v>
                </c:pt>
                <c:pt idx="4">
                  <c:v>双特计划</c:v>
                </c:pt>
              </c:strCache>
            </c:strRef>
          </c:cat>
          <c:val>
            <c:numRef>
              <c:f>'[2.2.7 基层就业.xlsx]Sheet2'!$E$4:$E$8</c:f>
              <c:numCache>
                <c:formatCode>General</c:formatCode>
                <c:ptCount val="5"/>
                <c:pt idx="0">
                  <c:v>56</c:v>
                </c:pt>
                <c:pt idx="1">
                  <c:v>3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1"/>
        <c:overlap val="-27"/>
        <c:axId val="137571328"/>
        <c:axId val="137573120"/>
      </c:barChart>
      <c:catAx>
        <c:axId val="137571328"/>
        <c:scaling>
          <c:orientation val="minMax"/>
        </c:scaling>
        <c:delete val="1"/>
        <c:axPos val="b"/>
        <c:numFmt formatCode="General" sourceLinked="0"/>
        <c:majorTickMark val="none"/>
        <c:minorTickMark val="none"/>
        <c:tickLblPos val="none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37573120"/>
        <c:crosses val="autoZero"/>
        <c:auto val="1"/>
        <c:lblAlgn val="ctr"/>
        <c:lblOffset val="100"/>
        <c:noMultiLvlLbl val="0"/>
      </c:catAx>
      <c:valAx>
        <c:axId val="137573120"/>
        <c:scaling>
          <c:orientation val="minMax"/>
        </c:scaling>
        <c:delete val="1"/>
        <c:axPos val="l"/>
        <c:majorGridlines>
          <c:spPr>
            <a:ln w="3175" cap="flat" cmpd="sng" algn="ctr">
              <a:solidFill>
                <a:schemeClr val="bg2"/>
              </a:solidFill>
              <a:prstDash val="dash"/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one"/>
        <c:txPr>
          <a:bodyPr rot="-60000000" spcFirstLastPara="0" vertOverflow="ellipsis" vert="horz" wrap="square" anchor="ctr" anchorCtr="1"/>
          <a:lstStyle/>
          <a:p>
            <a:pPr>
              <a:defRPr lang="zh-CN" sz="10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</a:p>
        </c:txPr>
        <c:crossAx val="1375713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0" vertOverflow="ellipsis" vert="horz" wrap="square" anchor="ctr" anchorCtr="1"/>
        <a:lstStyle/>
        <a:p>
          <a:pPr>
            <a:defRPr lang="zh-CN"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</a:p>
      </c:txPr>
    </c:legend>
    <c:plotVisOnly val="1"/>
    <c:dispBlanksAs val="gap"/>
    <c:showDLblsOverMax val="0"/>
  </c:chart>
  <c:spPr>
    <a:solidFill>
      <a:srgbClr val="F7FAFF"/>
    </a:solidFill>
    <a:ln w="9525" cap="flat" cmpd="sng" algn="ctr">
      <a:solidFill>
        <a:schemeClr val="tx1">
          <a:lumMod val="15000"/>
          <a:lumOff val="85000"/>
        </a:schemeClr>
      </a:solidFill>
      <a:prstDash val="solid"/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34"/>
    <customShpInfo spid="_x0000_s1033"/>
    <customShpInfo spid="_x0000_s1032"/>
    <customShpInfo spid="_x0000_s1031"/>
    <customShpInfo spid="_x0000_s1030"/>
    <customShpInfo spid="_x0000_s1029"/>
    <customShpInfo spid="_x0000_s1028"/>
    <customShpInfo spid="_x0000_s102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C269BE6-90FA-4609-ABF4-D8220A758A2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485</Words>
  <Characters>2769</Characters>
  <Lines>23</Lines>
  <Paragraphs>6</Paragraphs>
  <TotalTime>9</TotalTime>
  <ScaleCrop>false</ScaleCrop>
  <LinksUpToDate>false</LinksUpToDate>
  <CharactersWithSpaces>3248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2020-12-15T04:46:00Z</dcterms:created>
  <dc:creator>WTT</dc:creator>
  <cp:lastModifiedBy>siiiiiiii</cp:lastModifiedBy>
  <dcterms:modified xsi:type="dcterms:W3CDTF">2021-10-28T09:25:19Z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KSOSaveFontToCloudKey">
    <vt:lpwstr>511233033_btnclosed</vt:lpwstr>
  </property>
  <property fmtid="{D5CDD505-2E9C-101B-9397-08002B2CF9AE}" pid="4" name="ICV">
    <vt:lpwstr>C4E2869C76B147519D870B0B15DD4B69</vt:lpwstr>
  </property>
</Properties>
</file>