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colors6.xml" ContentType="application/vnd.ms-office.chartcolorstyle+xml"/>
  <Override PartName="/word/charts/colors7.xml" ContentType="application/vnd.ms-office.chartcolorstyle+xml"/>
  <Override PartName="/word/charts/colors8.xml" ContentType="application/vnd.ms-office.chartcolorstyle+xml"/>
  <Override PartName="/word/charts/colors9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charts/style6.xml" ContentType="application/vnd.ms-office.chartstyle+xml"/>
  <Override PartName="/word/charts/style7.xml" ContentType="application/vnd.ms-office.chartstyle+xml"/>
  <Override PartName="/word/charts/style8.xml" ContentType="application/vnd.ms-office.chartstyle+xml"/>
  <Override PartName="/word/charts/style9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b w:val="0"/>
          <w:bCs w:val="0"/>
        </w:rPr>
      </w:pPr>
      <w:bookmarkStart w:id="0" w:name="_Toc91773147"/>
      <w:r>
        <w:rPr>
          <w:rFonts w:hint="eastAsia" w:ascii="方正粗宋简体" w:hAnsi="方正粗宋简体" w:eastAsia="方正粗宋简体" w:cs="方正粗宋简体"/>
          <w:b/>
          <w:bCs/>
          <w:sz w:val="36"/>
          <w:szCs w:val="32"/>
          <w:lang w:eastAsia="zh-CN"/>
        </w:rPr>
        <w:t>毕业生规模及结构</w:t>
      </w:r>
      <w:bookmarkStart w:id="54" w:name="_GoBack"/>
      <w:bookmarkEnd w:id="54"/>
    </w:p>
    <w:p>
      <w:pPr>
        <w:pStyle w:val="2"/>
        <w:numPr>
          <w:ilvl w:val="0"/>
          <w:numId w:val="1"/>
        </w:numPr>
      </w:pPr>
      <w:r>
        <w:rPr>
          <w:rFonts w:hint="eastAsia"/>
        </w:rPr>
        <w:t>规模及学历结构</w:t>
      </w:r>
      <w:bookmarkEnd w:id="0"/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2021</w:t>
      </w:r>
      <w:r>
        <w:rPr>
          <w:rFonts w:ascii="Calibri" w:hAnsi="Calibri" w:eastAsia="宋体"/>
          <w:sz w:val="24"/>
          <w:szCs w:val="24"/>
        </w:rPr>
        <w:t>届毕业生共</w:t>
      </w:r>
      <w:r>
        <w:rPr>
          <w:rFonts w:ascii="Times New Roman" w:hAnsi="Times New Roman" w:eastAsia="宋体" w:cs="Times New Roman"/>
          <w:sz w:val="24"/>
          <w:szCs w:val="24"/>
        </w:rPr>
        <w:t>4123</w:t>
      </w:r>
      <w:r>
        <w:rPr>
          <w:rFonts w:ascii="Calibri" w:hAnsi="Calibri" w:eastAsia="宋体"/>
          <w:sz w:val="24"/>
          <w:szCs w:val="24"/>
        </w:rPr>
        <w:t>人，本科毕业生</w:t>
      </w:r>
      <w:r>
        <w:rPr>
          <w:rFonts w:ascii="Times New Roman" w:hAnsi="Times New Roman" w:eastAsia="宋体" w:cs="Times New Roman"/>
          <w:sz w:val="24"/>
          <w:szCs w:val="24"/>
        </w:rPr>
        <w:t>3407</w:t>
      </w:r>
      <w:r>
        <w:rPr>
          <w:rFonts w:ascii="Calibri" w:hAnsi="Calibri" w:eastAsia="宋体"/>
          <w:sz w:val="24"/>
          <w:szCs w:val="24"/>
        </w:rPr>
        <w:t>人，占毕业生总人数的</w:t>
      </w:r>
      <w:r>
        <w:rPr>
          <w:rFonts w:ascii="Times New Roman" w:hAnsi="Times New Roman" w:eastAsia="宋体" w:cs="Times New Roman"/>
          <w:sz w:val="24"/>
          <w:szCs w:val="24"/>
        </w:rPr>
        <w:t>82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63%</w:t>
      </w:r>
      <w:r>
        <w:rPr>
          <w:rFonts w:ascii="Calibri" w:hAnsi="Calibri" w:eastAsia="宋体"/>
          <w:sz w:val="24"/>
          <w:szCs w:val="24"/>
        </w:rPr>
        <w:t>；毕业研究生</w:t>
      </w:r>
      <w:r>
        <w:rPr>
          <w:rFonts w:ascii="Times New Roman" w:hAnsi="Times New Roman" w:eastAsia="宋体" w:cs="Times New Roman"/>
          <w:sz w:val="24"/>
          <w:szCs w:val="24"/>
        </w:rPr>
        <w:t>716</w:t>
      </w:r>
      <w:r>
        <w:rPr>
          <w:rFonts w:ascii="Calibri" w:hAnsi="Calibri" w:eastAsia="宋体"/>
          <w:sz w:val="24"/>
          <w:szCs w:val="24"/>
        </w:rPr>
        <w:t>人，占毕业生总人数的</w:t>
      </w:r>
      <w:r>
        <w:rPr>
          <w:rFonts w:ascii="Times New Roman" w:hAnsi="Times New Roman" w:eastAsia="宋体" w:cs="Times New Roman"/>
          <w:sz w:val="24"/>
          <w:szCs w:val="24"/>
        </w:rPr>
        <w:t>17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37%</w:t>
      </w:r>
      <w:r>
        <w:rPr>
          <w:rFonts w:ascii="Calibri" w:hAnsi="Calibri" w:eastAsia="宋体"/>
          <w:sz w:val="24"/>
          <w:szCs w:val="24"/>
        </w:rPr>
        <w:t>。</w:t>
      </w:r>
    </w:p>
    <w:p>
      <w:pPr>
        <w:spacing w:line="360" w:lineRule="auto"/>
        <w:rPr>
          <w:rFonts w:ascii="Calibri" w:hAnsi="Calibri" w:eastAsia="宋体"/>
          <w:sz w:val="24"/>
          <w:szCs w:val="24"/>
        </w:rPr>
      </w:pPr>
      <w:r>
        <w:rPr>
          <w:rFonts w:hint="eastAsia" w:ascii="Calibri" w:hAnsi="Calibri" w:eastAsia="宋体"/>
          <w:sz w:val="24"/>
          <w:szCs w:val="24"/>
        </w:rPr>
        <w:drawing>
          <wp:inline distT="0" distB="0" distL="0" distR="0">
            <wp:extent cx="5133975" cy="2952750"/>
            <wp:effectExtent l="0" t="0" r="0" b="0"/>
            <wp:docPr id="22" name="图表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pStyle w:val="25"/>
      </w:pPr>
      <w:bookmarkStart w:id="1" w:name="_Toc91773241"/>
      <w:r>
        <w:rPr>
          <w:rFonts w:hint="eastAsia"/>
        </w:rPr>
        <w:t>图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图1-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届毕业生规模</w:t>
      </w:r>
      <w:r>
        <w:rPr>
          <w:rFonts w:hint="eastAsia"/>
        </w:rPr>
        <w:t>及学历结构</w:t>
      </w:r>
      <w:bookmarkEnd w:id="1"/>
    </w:p>
    <w:p>
      <w:pPr>
        <w:pStyle w:val="2"/>
        <w:numPr>
          <w:ilvl w:val="0"/>
          <w:numId w:val="1"/>
        </w:numPr>
      </w:pPr>
      <w:bookmarkStart w:id="2" w:name="_Toc91773148"/>
      <w:r>
        <w:rPr>
          <w:rFonts w:hint="eastAsia"/>
        </w:rPr>
        <w:t>性别结构</w:t>
      </w:r>
      <w:bookmarkEnd w:id="2"/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2021</w:t>
      </w:r>
      <w:r>
        <w:rPr>
          <w:rFonts w:ascii="Calibri" w:hAnsi="Calibri" w:eastAsia="宋体"/>
          <w:sz w:val="24"/>
          <w:szCs w:val="24"/>
        </w:rPr>
        <w:t>届毕业生中，女生</w:t>
      </w:r>
      <w:r>
        <w:rPr>
          <w:rFonts w:ascii="Times New Roman" w:hAnsi="Times New Roman" w:eastAsia="宋体" w:cs="Times New Roman"/>
          <w:sz w:val="24"/>
          <w:szCs w:val="24"/>
        </w:rPr>
        <w:t>3376</w:t>
      </w:r>
      <w:r>
        <w:rPr>
          <w:rFonts w:ascii="Calibri" w:hAnsi="Calibri" w:eastAsia="宋体"/>
          <w:sz w:val="24"/>
          <w:szCs w:val="24"/>
        </w:rPr>
        <w:t>人，</w:t>
      </w:r>
      <w:r>
        <w:rPr>
          <w:rFonts w:hint="eastAsia" w:ascii="Calibri" w:hAnsi="Calibri" w:eastAsia="宋体"/>
          <w:sz w:val="24"/>
          <w:szCs w:val="24"/>
        </w:rPr>
        <w:t>占比</w:t>
      </w:r>
      <w:r>
        <w:rPr>
          <w:rFonts w:ascii="Calibri" w:hAnsi="Calibri" w:eastAsia="宋体"/>
          <w:sz w:val="24"/>
          <w:szCs w:val="24"/>
        </w:rPr>
        <w:t>为</w:t>
      </w:r>
      <w:r>
        <w:rPr>
          <w:rFonts w:ascii="Times New Roman" w:hAnsi="Times New Roman" w:eastAsia="宋体" w:cs="Times New Roman"/>
          <w:sz w:val="24"/>
          <w:szCs w:val="24"/>
        </w:rPr>
        <w:t>81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88%</w:t>
      </w:r>
      <w:r>
        <w:rPr>
          <w:rFonts w:ascii="Calibri" w:hAnsi="Calibri" w:eastAsia="宋体"/>
          <w:sz w:val="24"/>
          <w:szCs w:val="24"/>
        </w:rPr>
        <w:t>，男生</w:t>
      </w:r>
      <w:r>
        <w:rPr>
          <w:rFonts w:ascii="Times New Roman" w:hAnsi="Times New Roman" w:eastAsia="宋体" w:cs="Times New Roman"/>
          <w:sz w:val="24"/>
          <w:szCs w:val="24"/>
        </w:rPr>
        <w:t>747</w:t>
      </w:r>
      <w:r>
        <w:rPr>
          <w:rFonts w:ascii="Calibri" w:hAnsi="Calibri" w:eastAsia="宋体"/>
          <w:sz w:val="24"/>
          <w:szCs w:val="24"/>
        </w:rPr>
        <w:t>人，</w:t>
      </w:r>
      <w:r>
        <w:rPr>
          <w:rFonts w:hint="eastAsia" w:ascii="Calibri" w:hAnsi="Calibri" w:eastAsia="宋体"/>
          <w:sz w:val="24"/>
          <w:szCs w:val="24"/>
        </w:rPr>
        <w:t>占比</w:t>
      </w:r>
      <w:r>
        <w:rPr>
          <w:rFonts w:ascii="Calibri" w:hAnsi="Calibri" w:eastAsia="宋体"/>
          <w:sz w:val="24"/>
          <w:szCs w:val="24"/>
        </w:rPr>
        <w:t>为</w:t>
      </w:r>
      <w:r>
        <w:rPr>
          <w:rFonts w:ascii="Times New Roman" w:hAnsi="Times New Roman" w:eastAsia="宋体" w:cs="Times New Roman"/>
          <w:sz w:val="24"/>
          <w:szCs w:val="24"/>
        </w:rPr>
        <w:t>18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12%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男女性别比约为1</w:t>
      </w:r>
      <w:r>
        <w:rPr>
          <w:rFonts w:hint="eastAsia" w:ascii="Times New Roman" w:hAnsi="Times New Roman" w:eastAsia="宋体" w:cs="Times New Roman"/>
          <w:sz w:val="24"/>
          <w:szCs w:val="24"/>
        </w:rPr>
        <w:t>:5</w:t>
      </w:r>
      <w:r>
        <w:rPr>
          <w:rFonts w:ascii="Calibri" w:hAnsi="Calibri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ascii="Calibri" w:hAnsi="Calibri" w:eastAsia="宋体"/>
          <w:sz w:val="24"/>
          <w:szCs w:val="24"/>
        </w:rPr>
        <w:t>本科毕业生中，女生</w:t>
      </w:r>
      <w:r>
        <w:rPr>
          <w:rFonts w:ascii="Times New Roman" w:hAnsi="Times New Roman" w:eastAsia="宋体" w:cs="Times New Roman"/>
          <w:sz w:val="24"/>
          <w:szCs w:val="24"/>
        </w:rPr>
        <w:t>2765</w:t>
      </w:r>
      <w:r>
        <w:rPr>
          <w:rFonts w:ascii="Calibri" w:hAnsi="Calibri" w:eastAsia="宋体"/>
          <w:sz w:val="24"/>
          <w:szCs w:val="24"/>
        </w:rPr>
        <w:t>人，</w:t>
      </w:r>
      <w:r>
        <w:rPr>
          <w:rFonts w:hint="eastAsia" w:ascii="Calibri" w:hAnsi="Calibri" w:eastAsia="宋体"/>
          <w:sz w:val="24"/>
          <w:szCs w:val="24"/>
        </w:rPr>
        <w:t>占本科毕业生总数的</w:t>
      </w:r>
      <w:r>
        <w:rPr>
          <w:rFonts w:ascii="Times New Roman" w:hAnsi="Times New Roman" w:eastAsia="宋体" w:cs="Times New Roman"/>
          <w:sz w:val="24"/>
          <w:szCs w:val="24"/>
        </w:rPr>
        <w:t>81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16%</w:t>
      </w:r>
      <w:r>
        <w:rPr>
          <w:rFonts w:ascii="Calibri" w:hAnsi="Calibri" w:eastAsia="宋体"/>
          <w:sz w:val="24"/>
          <w:szCs w:val="24"/>
        </w:rPr>
        <w:t>，男生</w:t>
      </w:r>
      <w:r>
        <w:rPr>
          <w:rFonts w:ascii="Times New Roman" w:hAnsi="Times New Roman" w:eastAsia="宋体" w:cs="Times New Roman"/>
          <w:sz w:val="24"/>
          <w:szCs w:val="24"/>
        </w:rPr>
        <w:t>642</w:t>
      </w:r>
      <w:r>
        <w:rPr>
          <w:rFonts w:ascii="Calibri" w:hAnsi="Calibri" w:eastAsia="宋体"/>
          <w:sz w:val="24"/>
          <w:szCs w:val="24"/>
        </w:rPr>
        <w:t>人，</w:t>
      </w:r>
      <w:r>
        <w:rPr>
          <w:rFonts w:hint="eastAsia" w:ascii="Calibri" w:hAnsi="Calibri" w:eastAsia="宋体"/>
          <w:sz w:val="24"/>
          <w:szCs w:val="24"/>
        </w:rPr>
        <w:t>占本科毕业生总数的</w:t>
      </w:r>
      <w:r>
        <w:rPr>
          <w:rFonts w:ascii="Times New Roman" w:hAnsi="Times New Roman" w:eastAsia="宋体" w:cs="Times New Roman"/>
          <w:sz w:val="24"/>
          <w:szCs w:val="24"/>
        </w:rPr>
        <w:t>18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84%</w:t>
      </w:r>
      <w:r>
        <w:rPr>
          <w:rFonts w:ascii="Calibri" w:hAnsi="Calibri" w:eastAsia="宋体"/>
          <w:sz w:val="24"/>
          <w:szCs w:val="24"/>
        </w:rPr>
        <w:t>。毕业研究生中，女生</w:t>
      </w:r>
      <w:r>
        <w:rPr>
          <w:rFonts w:ascii="Times New Roman" w:hAnsi="Times New Roman" w:eastAsia="宋体" w:cs="Times New Roman"/>
          <w:sz w:val="24"/>
          <w:szCs w:val="24"/>
        </w:rPr>
        <w:t>611</w:t>
      </w:r>
      <w:r>
        <w:rPr>
          <w:rFonts w:ascii="Calibri" w:hAnsi="Calibri" w:eastAsia="宋体"/>
          <w:sz w:val="24"/>
          <w:szCs w:val="24"/>
        </w:rPr>
        <w:t>人，</w:t>
      </w:r>
      <w:r>
        <w:rPr>
          <w:rFonts w:hint="eastAsia" w:ascii="Calibri" w:hAnsi="Calibri" w:eastAsia="宋体"/>
          <w:sz w:val="24"/>
          <w:szCs w:val="24"/>
        </w:rPr>
        <w:t>占毕业研究生总数的</w:t>
      </w:r>
      <w:r>
        <w:rPr>
          <w:rFonts w:ascii="Times New Roman" w:hAnsi="Times New Roman" w:eastAsia="宋体" w:cs="Times New Roman"/>
          <w:sz w:val="24"/>
          <w:szCs w:val="24"/>
        </w:rPr>
        <w:t>85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34%</w:t>
      </w:r>
      <w:r>
        <w:rPr>
          <w:rFonts w:ascii="Calibri" w:hAnsi="Calibri" w:eastAsia="宋体"/>
          <w:sz w:val="24"/>
          <w:szCs w:val="24"/>
        </w:rPr>
        <w:t>，男生</w:t>
      </w:r>
      <w:r>
        <w:rPr>
          <w:rFonts w:ascii="Times New Roman" w:hAnsi="Times New Roman" w:eastAsia="宋体" w:cs="Times New Roman"/>
          <w:sz w:val="24"/>
          <w:szCs w:val="24"/>
        </w:rPr>
        <w:t>105</w:t>
      </w:r>
      <w:r>
        <w:rPr>
          <w:rFonts w:ascii="Calibri" w:hAnsi="Calibri" w:eastAsia="宋体"/>
          <w:sz w:val="24"/>
          <w:szCs w:val="24"/>
        </w:rPr>
        <w:t>人，占</w:t>
      </w:r>
      <w:r>
        <w:rPr>
          <w:rFonts w:hint="eastAsia" w:ascii="Calibri" w:hAnsi="Calibri" w:eastAsia="宋体"/>
          <w:sz w:val="24"/>
          <w:szCs w:val="24"/>
        </w:rPr>
        <w:t>毕业研究生总数的</w:t>
      </w:r>
      <w:r>
        <w:rPr>
          <w:rFonts w:ascii="Times New Roman" w:hAnsi="Times New Roman" w:eastAsia="宋体" w:cs="Times New Roman"/>
          <w:sz w:val="24"/>
          <w:szCs w:val="24"/>
        </w:rPr>
        <w:t>14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66%</w:t>
      </w:r>
      <w:r>
        <w:rPr>
          <w:rFonts w:ascii="Calibri" w:hAnsi="Calibri" w:eastAsia="宋体"/>
          <w:sz w:val="24"/>
          <w:szCs w:val="24"/>
        </w:rPr>
        <w:t>。</w:t>
      </w:r>
    </w:p>
    <w:p>
      <w:pPr>
        <w:pStyle w:val="25"/>
      </w:pPr>
      <w:bookmarkStart w:id="3" w:name="_Toc91253256"/>
      <w:bookmarkStart w:id="4" w:name="_Toc91773242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表1-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届毕业生性别结构</w:t>
      </w:r>
      <w:bookmarkEnd w:id="3"/>
      <w:bookmarkEnd w:id="4"/>
    </w:p>
    <w:tbl>
      <w:tblPr>
        <w:tblStyle w:val="26"/>
        <w:tblW w:w="5000" w:type="pct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1483"/>
        <w:gridCol w:w="1110"/>
        <w:gridCol w:w="1483"/>
        <w:gridCol w:w="1110"/>
        <w:gridCol w:w="1483"/>
        <w:gridCol w:w="111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521" w:type="pct"/>
            <w:gridSpan w:val="2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本科生</w:t>
            </w:r>
          </w:p>
        </w:tc>
        <w:tc>
          <w:tcPr>
            <w:tcW w:w="1521" w:type="pct"/>
            <w:gridSpan w:val="2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研究生</w:t>
            </w:r>
          </w:p>
        </w:tc>
        <w:tc>
          <w:tcPr>
            <w:tcW w:w="1521" w:type="pct"/>
            <w:gridSpan w:val="2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总体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3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870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651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占比</w:t>
            </w:r>
          </w:p>
        </w:tc>
        <w:tc>
          <w:tcPr>
            <w:tcW w:w="870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651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占比</w:t>
            </w:r>
          </w:p>
        </w:tc>
        <w:tc>
          <w:tcPr>
            <w:tcW w:w="870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651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占比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女</w:t>
            </w:r>
          </w:p>
        </w:tc>
        <w:tc>
          <w:tcPr>
            <w:tcW w:w="87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2765</w:t>
            </w:r>
          </w:p>
        </w:tc>
        <w:tc>
          <w:tcPr>
            <w:tcW w:w="65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16%</w:t>
            </w:r>
          </w:p>
        </w:tc>
        <w:tc>
          <w:tcPr>
            <w:tcW w:w="87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611</w:t>
            </w:r>
          </w:p>
        </w:tc>
        <w:tc>
          <w:tcPr>
            <w:tcW w:w="65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34%</w:t>
            </w:r>
          </w:p>
        </w:tc>
        <w:tc>
          <w:tcPr>
            <w:tcW w:w="87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3376</w:t>
            </w:r>
          </w:p>
        </w:tc>
        <w:tc>
          <w:tcPr>
            <w:tcW w:w="65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男</w:t>
            </w:r>
          </w:p>
        </w:tc>
        <w:tc>
          <w:tcPr>
            <w:tcW w:w="87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642</w:t>
            </w:r>
          </w:p>
        </w:tc>
        <w:tc>
          <w:tcPr>
            <w:tcW w:w="65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84%</w:t>
            </w:r>
          </w:p>
        </w:tc>
        <w:tc>
          <w:tcPr>
            <w:tcW w:w="87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65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66%</w:t>
            </w:r>
          </w:p>
        </w:tc>
        <w:tc>
          <w:tcPr>
            <w:tcW w:w="87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747</w:t>
            </w:r>
          </w:p>
        </w:tc>
        <w:tc>
          <w:tcPr>
            <w:tcW w:w="65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12%</w:t>
            </w:r>
          </w:p>
        </w:tc>
      </w:tr>
    </w:tbl>
    <w:p>
      <w:pPr>
        <w:pStyle w:val="2"/>
        <w:numPr>
          <w:ilvl w:val="0"/>
          <w:numId w:val="1"/>
        </w:numPr>
        <w:spacing w:before="120" w:after="120" w:line="415" w:lineRule="auto"/>
      </w:pPr>
      <w:bookmarkStart w:id="5" w:name="_Toc91773149"/>
      <w:r>
        <w:t>生源地分布</w:t>
      </w:r>
      <w:bookmarkEnd w:id="5"/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2021</w:t>
      </w:r>
      <w:r>
        <w:rPr>
          <w:rFonts w:ascii="Calibri" w:hAnsi="Calibri" w:eastAsia="宋体"/>
          <w:sz w:val="24"/>
          <w:szCs w:val="24"/>
        </w:rPr>
        <w:t>届毕业生</w:t>
      </w:r>
      <w:r>
        <w:rPr>
          <w:rFonts w:hint="eastAsia" w:ascii="Calibri" w:hAnsi="Calibri" w:eastAsia="宋体"/>
          <w:sz w:val="24"/>
          <w:szCs w:val="24"/>
        </w:rPr>
        <w:t>来自</w:t>
      </w:r>
      <w:r>
        <w:rPr>
          <w:rFonts w:ascii="Calibri" w:hAnsi="Calibri" w:eastAsia="宋体"/>
          <w:sz w:val="24"/>
          <w:szCs w:val="24"/>
        </w:rPr>
        <w:t>全国</w:t>
      </w:r>
      <w:r>
        <w:rPr>
          <w:rFonts w:ascii="Times New Roman" w:hAnsi="Times New Roman" w:eastAsia="宋体" w:cs="Times New Roman"/>
          <w:sz w:val="24"/>
          <w:szCs w:val="24"/>
        </w:rPr>
        <w:t>31</w:t>
      </w:r>
      <w:r>
        <w:rPr>
          <w:rFonts w:ascii="Calibri" w:hAnsi="Calibri" w:eastAsia="宋体"/>
          <w:sz w:val="24"/>
          <w:szCs w:val="24"/>
        </w:rPr>
        <w:t>个省（市、自治区）</w:t>
      </w:r>
      <w:r>
        <w:rPr>
          <w:rFonts w:hint="eastAsia" w:ascii="Calibri" w:hAnsi="Calibri" w:eastAsia="宋体"/>
          <w:sz w:val="24"/>
          <w:szCs w:val="24"/>
        </w:rPr>
        <w:t>。重庆籍</w:t>
      </w:r>
      <w:r>
        <w:rPr>
          <w:rFonts w:ascii="Times New Roman" w:hAnsi="Times New Roman" w:eastAsia="宋体" w:cs="Times New Roman"/>
          <w:sz w:val="24"/>
          <w:szCs w:val="24"/>
        </w:rPr>
        <w:t>2417</w:t>
      </w:r>
      <w:r>
        <w:rPr>
          <w:rFonts w:ascii="Calibri" w:hAnsi="Calibri" w:eastAsia="宋体"/>
          <w:sz w:val="24"/>
          <w:szCs w:val="24"/>
        </w:rPr>
        <w:t>人，</w:t>
      </w:r>
      <w:r>
        <w:rPr>
          <w:rFonts w:hint="eastAsia" w:ascii="Calibri" w:hAnsi="Calibri" w:eastAsia="宋体"/>
          <w:sz w:val="24"/>
          <w:szCs w:val="24"/>
        </w:rPr>
        <w:t>占比</w:t>
      </w:r>
      <w:r>
        <w:rPr>
          <w:rFonts w:ascii="Calibri" w:hAnsi="Calibri" w:eastAsia="宋体"/>
          <w:sz w:val="24"/>
          <w:szCs w:val="24"/>
        </w:rPr>
        <w:t>为</w:t>
      </w:r>
      <w:r>
        <w:rPr>
          <w:rFonts w:ascii="Times New Roman" w:hAnsi="Times New Roman" w:eastAsia="宋体" w:cs="Times New Roman"/>
          <w:sz w:val="24"/>
          <w:szCs w:val="24"/>
        </w:rPr>
        <w:t>58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62%</w:t>
      </w:r>
      <w:r>
        <w:rPr>
          <w:rFonts w:ascii="Calibri" w:hAnsi="Calibri" w:eastAsia="宋体"/>
          <w:sz w:val="24"/>
          <w:szCs w:val="24"/>
        </w:rPr>
        <w:t>，</w:t>
      </w:r>
      <w:r>
        <w:rPr>
          <w:rFonts w:hint="eastAsia" w:ascii="Calibri" w:hAnsi="Calibri" w:eastAsia="宋体"/>
          <w:sz w:val="24"/>
          <w:szCs w:val="24"/>
        </w:rPr>
        <w:t>非</w:t>
      </w:r>
      <w:r>
        <w:rPr>
          <w:rFonts w:ascii="Calibri" w:hAnsi="Calibri" w:eastAsia="宋体"/>
          <w:sz w:val="24"/>
          <w:szCs w:val="24"/>
        </w:rPr>
        <w:t>重庆籍</w:t>
      </w:r>
      <w:r>
        <w:rPr>
          <w:rFonts w:ascii="Times New Roman" w:hAnsi="Times New Roman" w:eastAsia="宋体" w:cs="Times New Roman"/>
          <w:sz w:val="24"/>
          <w:szCs w:val="24"/>
        </w:rPr>
        <w:t>1706</w:t>
      </w:r>
      <w:r>
        <w:rPr>
          <w:rFonts w:ascii="Calibri" w:hAnsi="Calibri" w:eastAsia="宋体"/>
          <w:sz w:val="24"/>
          <w:szCs w:val="24"/>
        </w:rPr>
        <w:t>人，</w:t>
      </w:r>
      <w:r>
        <w:rPr>
          <w:rFonts w:hint="eastAsia" w:ascii="Calibri" w:hAnsi="Calibri" w:eastAsia="宋体"/>
          <w:sz w:val="24"/>
          <w:szCs w:val="24"/>
        </w:rPr>
        <w:t>占比</w:t>
      </w:r>
      <w:r>
        <w:rPr>
          <w:rFonts w:ascii="Calibri" w:hAnsi="Calibri" w:eastAsia="宋体"/>
          <w:sz w:val="24"/>
          <w:szCs w:val="24"/>
        </w:rPr>
        <w:t>为</w:t>
      </w:r>
      <w:r>
        <w:rPr>
          <w:rFonts w:ascii="Times New Roman" w:hAnsi="Times New Roman" w:eastAsia="宋体" w:cs="Times New Roman"/>
          <w:sz w:val="24"/>
          <w:szCs w:val="24"/>
        </w:rPr>
        <w:t>41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38%</w:t>
      </w:r>
      <w:r>
        <w:rPr>
          <w:rFonts w:ascii="Calibri" w:hAnsi="Calibri" w:eastAsia="宋体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ascii="Calibri" w:hAnsi="Calibri" w:eastAsia="宋体"/>
          <w:sz w:val="24"/>
          <w:szCs w:val="24"/>
        </w:rPr>
        <w:t>本科毕业生中，重庆籍占比为</w:t>
      </w:r>
      <w:r>
        <w:rPr>
          <w:rFonts w:ascii="Times New Roman" w:hAnsi="Times New Roman" w:eastAsia="宋体" w:cs="Times New Roman"/>
          <w:sz w:val="24"/>
          <w:szCs w:val="24"/>
        </w:rPr>
        <w:t>65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60%</w:t>
      </w:r>
      <w:r>
        <w:rPr>
          <w:rFonts w:hint="eastAsia" w:ascii="Calibri" w:hAnsi="Calibri" w:eastAsia="宋体"/>
          <w:sz w:val="24"/>
          <w:szCs w:val="24"/>
        </w:rPr>
        <w:t>；</w:t>
      </w:r>
      <w:r>
        <w:rPr>
          <w:rFonts w:ascii="Calibri" w:hAnsi="Calibri" w:eastAsia="宋体"/>
          <w:sz w:val="24"/>
          <w:szCs w:val="24"/>
        </w:rPr>
        <w:t>毕业研究生中，重庆籍占比为</w:t>
      </w:r>
      <w:r>
        <w:rPr>
          <w:rFonts w:ascii="Times New Roman" w:hAnsi="Times New Roman" w:eastAsia="宋体" w:cs="Times New Roman"/>
          <w:sz w:val="24"/>
          <w:szCs w:val="24"/>
        </w:rPr>
        <w:t>25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42%</w:t>
      </w:r>
      <w:r>
        <w:rPr>
          <w:rFonts w:ascii="Calibri" w:hAnsi="Calibri" w:eastAsia="宋体"/>
          <w:sz w:val="24"/>
          <w:szCs w:val="24"/>
        </w:rPr>
        <w:t>。</w:t>
      </w:r>
    </w:p>
    <w:p>
      <w:pPr>
        <w:pStyle w:val="25"/>
      </w:pPr>
      <w:bookmarkStart w:id="6" w:name="_Toc91253257"/>
      <w:bookmarkStart w:id="7" w:name="_Toc91773243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表1-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生源地分布</w:t>
      </w:r>
      <w:bookmarkEnd w:id="6"/>
      <w:bookmarkEnd w:id="7"/>
    </w:p>
    <w:tbl>
      <w:tblPr>
        <w:tblStyle w:val="26"/>
        <w:tblW w:w="5523" w:type="pct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3"/>
        <w:gridCol w:w="1395"/>
        <w:gridCol w:w="1049"/>
        <w:gridCol w:w="1395"/>
        <w:gridCol w:w="1049"/>
        <w:gridCol w:w="1395"/>
        <w:gridCol w:w="1047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7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省份</w:t>
            </w:r>
          </w:p>
        </w:tc>
        <w:tc>
          <w:tcPr>
            <w:tcW w:w="1298" w:type="pct"/>
            <w:gridSpan w:val="2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本科生</w:t>
            </w:r>
          </w:p>
        </w:tc>
        <w:tc>
          <w:tcPr>
            <w:tcW w:w="1298" w:type="pct"/>
            <w:gridSpan w:val="2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研究生</w:t>
            </w:r>
          </w:p>
        </w:tc>
        <w:tc>
          <w:tcPr>
            <w:tcW w:w="1297" w:type="pct"/>
            <w:gridSpan w:val="2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总体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10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741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57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占比</w:t>
            </w:r>
          </w:p>
        </w:tc>
        <w:tc>
          <w:tcPr>
            <w:tcW w:w="741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57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占比</w:t>
            </w:r>
          </w:p>
        </w:tc>
        <w:tc>
          <w:tcPr>
            <w:tcW w:w="741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56" w:type="pct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占比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重庆市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2235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2417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58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四川省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225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199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27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79%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424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山东省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29%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63%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河南省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38%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43%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甘肃省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79%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51%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江苏省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58%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07%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河北省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73%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23%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湖南省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35%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江西省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03%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61%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安徽省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35%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93%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陕西省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26%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09%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山西省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23%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09%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贵州省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03%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93%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浙江省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26%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26%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湖北省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09%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96%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广西壮族自治区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17%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56%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云南省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82%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福建省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00%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70%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辽宁省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06%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28%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广东省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82%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84%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黑龙江省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85%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内蒙古自治区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65%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98%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青海省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70%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吉林省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53%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70%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海南省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62%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天津市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41%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上海市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35%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北京市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新疆维吾尔自治区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西藏自治区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宁夏回族自治区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28%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05%</w:t>
            </w:r>
          </w:p>
        </w:tc>
      </w:tr>
    </w:tbl>
    <w:p>
      <w:pPr>
        <w:pStyle w:val="27"/>
        <w:adjustRightInd w:val="0"/>
        <w:snapToGrid w:val="0"/>
        <w:spacing w:line="180" w:lineRule="exact"/>
        <w:ind w:firstLine="360" w:firstLineChars="200"/>
        <w:jc w:val="left"/>
        <w:rPr>
          <w:b w:val="0"/>
          <w:lang w:val="en-SG"/>
        </w:rPr>
      </w:pPr>
      <w:r>
        <w:rPr>
          <w:rFonts w:ascii="Calibri" w:hAnsi="Calibri"/>
          <w:b w:val="0"/>
          <w:lang w:val="en-SG"/>
        </w:rPr>
        <w:t>注：本报告中“</w:t>
      </w:r>
      <w:r>
        <w:rPr>
          <w:rFonts w:hint="eastAsia" w:ascii="Calibri" w:hAnsi="Calibri" w:cs="宋体"/>
          <w:color w:val="000000"/>
          <w:kern w:val="0"/>
          <w:szCs w:val="21"/>
        </w:rPr>
        <w:t>-</w:t>
      </w:r>
      <w:r>
        <w:rPr>
          <w:rFonts w:ascii="Calibri" w:hAnsi="Calibri"/>
          <w:b w:val="0"/>
          <w:lang w:val="en-SG"/>
        </w:rPr>
        <w:t>”表示空值，即该</w:t>
      </w:r>
      <w:r>
        <w:rPr>
          <w:rFonts w:hint="eastAsia" w:ascii="Calibri" w:hAnsi="Calibri"/>
          <w:b w:val="0"/>
          <w:lang w:val="en-SG"/>
        </w:rPr>
        <w:t>字段</w:t>
      </w:r>
      <w:r>
        <w:rPr>
          <w:rFonts w:ascii="Calibri" w:hAnsi="Calibri"/>
          <w:b w:val="0"/>
          <w:lang w:val="en-SG"/>
        </w:rPr>
        <w:t>无数据信息，下同。</w:t>
      </w:r>
    </w:p>
    <w:p>
      <w:pPr>
        <w:pStyle w:val="2"/>
        <w:numPr>
          <w:ilvl w:val="0"/>
          <w:numId w:val="1"/>
        </w:numPr>
      </w:pPr>
      <w:bookmarkStart w:id="8" w:name="_Toc91773150"/>
      <w:r>
        <w:t>专业分布</w:t>
      </w:r>
      <w:bookmarkEnd w:id="8"/>
    </w:p>
    <w:p>
      <w:pPr>
        <w:pStyle w:val="3"/>
        <w:numPr>
          <w:ilvl w:val="0"/>
          <w:numId w:val="2"/>
        </w:numPr>
        <w:spacing w:before="0" w:beforeLines="0" w:after="0" w:afterLines="0"/>
        <w:rPr>
          <w:sz w:val="24"/>
        </w:rPr>
      </w:pPr>
      <w:bookmarkStart w:id="9" w:name="_Toc91773151"/>
      <w:r>
        <w:rPr>
          <w:sz w:val="24"/>
        </w:rPr>
        <w:t>本科毕业生</w:t>
      </w:r>
      <w:bookmarkEnd w:id="9"/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hint="eastAsia" w:ascii="Calibri" w:hAnsi="Calibri" w:eastAsia="宋体"/>
          <w:sz w:val="24"/>
          <w:szCs w:val="24"/>
        </w:rPr>
        <w:t>学校2</w:t>
      </w:r>
      <w:r>
        <w:rPr>
          <w:rFonts w:ascii="Calibri" w:hAnsi="Calibri" w:eastAsia="宋体"/>
          <w:sz w:val="24"/>
          <w:szCs w:val="24"/>
        </w:rPr>
        <w:t>021届本科毕业生分布在</w:t>
      </w:r>
      <w:r>
        <w:rPr>
          <w:rFonts w:hint="eastAsia" w:ascii="Calibri" w:hAnsi="Calibri" w:eastAsia="宋体"/>
          <w:sz w:val="24"/>
          <w:szCs w:val="24"/>
        </w:rPr>
        <w:t>1</w:t>
      </w:r>
      <w:r>
        <w:rPr>
          <w:rFonts w:ascii="Calibri" w:hAnsi="Calibri" w:eastAsia="宋体"/>
          <w:sz w:val="24"/>
          <w:szCs w:val="24"/>
        </w:rPr>
        <w:t>6个学院39个专业。毕业生规模较大的有英语、商务英语、财务管理、国际经济与贸易、汉语国际教育等专业。</w:t>
      </w:r>
    </w:p>
    <w:p>
      <w:pPr>
        <w:pStyle w:val="25"/>
      </w:pPr>
      <w:bookmarkStart w:id="10" w:name="_Toc91773244"/>
      <w:bookmarkStart w:id="11" w:name="_Toc91253258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表1-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专业分布（本科）</w:t>
      </w:r>
      <w:bookmarkEnd w:id="10"/>
      <w:bookmarkEnd w:id="11"/>
    </w:p>
    <w:tbl>
      <w:tblPr>
        <w:tblStyle w:val="26"/>
        <w:tblW w:w="5000" w:type="pct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3515"/>
        <w:gridCol w:w="2099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706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学院</w:t>
            </w:r>
          </w:p>
        </w:tc>
        <w:tc>
          <w:tcPr>
            <w:tcW w:w="2062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专业</w:t>
            </w:r>
          </w:p>
        </w:tc>
        <w:tc>
          <w:tcPr>
            <w:tcW w:w="1231" w:type="pct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毕业人数（人）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英语学院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英语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678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国际关系学院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100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国际政治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外交学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国际工商管理学院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342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财务管理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人力资源管理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审计学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物流管理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电子商务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旅游管理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新闻传播学院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297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新闻学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广播电视学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广告学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网络与新媒体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广播电视编导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播音与主持艺术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翻译学院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翻译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98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东方语言文化学院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176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阿拉伯语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朝鲜语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泰语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越南语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日语学院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日语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109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俄语学院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俄语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德语学院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德语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110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法语学院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法语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105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西方语言文化学院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152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西班牙语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葡萄牙语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意大利语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匈牙利语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中国语言文化学院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237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汉语言文学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114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汉语国际教育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123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商务英语学院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424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商务英语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325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商务英语（中外办学）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国际教育学院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教育学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国际法学与社会学院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192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法学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67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社会学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社会工作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国际金融与贸易学院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238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金融学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国际经济与贸易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129</w:t>
            </w:r>
          </w:p>
        </w:tc>
      </w:tr>
    </w:tbl>
    <w:p>
      <w:pPr>
        <w:pStyle w:val="3"/>
        <w:numPr>
          <w:ilvl w:val="0"/>
          <w:numId w:val="2"/>
        </w:numPr>
        <w:spacing w:before="156" w:after="156"/>
        <w:rPr>
          <w:sz w:val="24"/>
        </w:rPr>
      </w:pPr>
      <w:bookmarkStart w:id="12" w:name="_Toc91773152"/>
      <w:r>
        <w:rPr>
          <w:sz w:val="24"/>
        </w:rPr>
        <w:t>毕业研究生</w:t>
      </w:r>
      <w:bookmarkEnd w:id="12"/>
    </w:p>
    <w:p>
      <w:pPr>
        <w:spacing w:before="156" w:beforeLines="50"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hint="eastAsia" w:ascii="Calibri" w:hAnsi="Calibri" w:eastAsia="宋体"/>
          <w:sz w:val="24"/>
          <w:szCs w:val="24"/>
        </w:rPr>
        <w:t>学校2</w:t>
      </w:r>
      <w:r>
        <w:rPr>
          <w:rFonts w:ascii="Calibri" w:hAnsi="Calibri" w:eastAsia="宋体"/>
          <w:sz w:val="24"/>
          <w:szCs w:val="24"/>
        </w:rPr>
        <w:t>021届毕业研究生分布在</w:t>
      </w:r>
      <w:r>
        <w:rPr>
          <w:rFonts w:hint="eastAsia" w:ascii="Calibri" w:hAnsi="Calibri" w:eastAsia="宋体"/>
          <w:sz w:val="24"/>
          <w:szCs w:val="24"/>
        </w:rPr>
        <w:t>1</w:t>
      </w:r>
      <w:r>
        <w:rPr>
          <w:rFonts w:ascii="Calibri" w:hAnsi="Calibri" w:eastAsia="宋体"/>
          <w:sz w:val="24"/>
          <w:szCs w:val="24"/>
        </w:rPr>
        <w:t>6个学院</w:t>
      </w:r>
      <w:r>
        <w:rPr>
          <w:rFonts w:hint="eastAsia" w:ascii="Calibri" w:hAnsi="Calibri" w:eastAsia="宋体"/>
          <w:sz w:val="24"/>
          <w:szCs w:val="24"/>
        </w:rPr>
        <w:t>3</w:t>
      </w:r>
      <w:r>
        <w:rPr>
          <w:rFonts w:ascii="Calibri" w:hAnsi="Calibri" w:eastAsia="宋体"/>
          <w:sz w:val="24"/>
          <w:szCs w:val="24"/>
        </w:rPr>
        <w:t>9个专业。毕业生规模较大的专业有英语语言文学、英语笔译、英语口译等。</w:t>
      </w:r>
    </w:p>
    <w:p>
      <w:pPr>
        <w:pStyle w:val="25"/>
      </w:pPr>
      <w:bookmarkStart w:id="13" w:name="_Toc91773245"/>
      <w:bookmarkStart w:id="14" w:name="_Toc91253259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表1-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专业分布（研究生）</w:t>
      </w:r>
      <w:bookmarkEnd w:id="13"/>
      <w:bookmarkEnd w:id="14"/>
    </w:p>
    <w:tbl>
      <w:tblPr>
        <w:tblStyle w:val="26"/>
        <w:tblW w:w="5000" w:type="pct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3515"/>
        <w:gridCol w:w="2099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exact"/>
          <w:tblHeader/>
          <w:jc w:val="center"/>
        </w:trPr>
        <w:tc>
          <w:tcPr>
            <w:tcW w:w="1706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学院</w:t>
            </w:r>
          </w:p>
        </w:tc>
        <w:tc>
          <w:tcPr>
            <w:tcW w:w="2062" w:type="pct"/>
            <w:vMerge w:val="restar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专业</w:t>
            </w:r>
          </w:p>
        </w:tc>
        <w:tc>
          <w:tcPr>
            <w:tcW w:w="1231" w:type="pct"/>
            <w:vMerge w:val="restart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毕业人数（人）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706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vMerge w:val="continue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1231" w:type="pct"/>
            <w:vMerge w:val="continue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英语学院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150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英语语言文学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114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外国语言学及应用语言学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国际关系学院</w:t>
            </w: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比较制度学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新闻传播学院</w:t>
            </w: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44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文艺与传媒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新闻与传播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翻译学院</w:t>
            </w: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189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szCs w:val="21"/>
              </w:rPr>
              <w:t>英语语言文学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（翻译理论与实践）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英语笔译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英语口译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60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东方语言文化学院</w:t>
            </w:r>
          </w:p>
        </w:tc>
        <w:tc>
          <w:tcPr>
            <w:tcW w:w="2062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阿拉伯语语言文学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亚非语言文学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朝鲜语笔译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朝鲜语口译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日语学院</w:t>
            </w: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32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日语语言文学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日语笔译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日语口译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俄语学院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32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俄语语言文学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俄语笔译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俄语口译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德语学院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36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德语语言文学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德语笔译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德语口译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法语学院</w:t>
            </w:r>
          </w:p>
        </w:tc>
        <w:tc>
          <w:tcPr>
            <w:tcW w:w="2062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20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法语语言文学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法语笔译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11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西方语言文化学院</w:t>
            </w: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欧洲语言文学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西班牙语语言文学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中国语言文化学院</w:t>
            </w: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汉语国际教育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43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文艺学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语言学及应用语言学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汉语言文字学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中国古代文学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中国现当代文学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6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比较文学与世界文学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马克思主义学院</w:t>
            </w: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马克思主义理论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12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商务英语学院</w:t>
            </w: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b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外国语言学及应用语言学</w:t>
            </w:r>
          </w:p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（商务英语研究）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国际教育学院</w:t>
            </w: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课程与教学论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教育管理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学科教学(英语)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国际法学与社会学院</w:t>
            </w:r>
          </w:p>
        </w:tc>
        <w:tc>
          <w:tcPr>
            <w:tcW w:w="2062" w:type="pct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社会工作</w:t>
            </w:r>
          </w:p>
        </w:tc>
        <w:tc>
          <w:tcPr>
            <w:tcW w:w="1231" w:type="pct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14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706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国际金融与贸易学院</w:t>
            </w:r>
          </w:p>
        </w:tc>
        <w:tc>
          <w:tcPr>
            <w:tcW w:w="2062" w:type="pct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国际商务</w:t>
            </w:r>
          </w:p>
        </w:tc>
        <w:tc>
          <w:tcPr>
            <w:tcW w:w="1231" w:type="pct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25</w:t>
            </w:r>
          </w:p>
        </w:tc>
      </w:tr>
    </w:tbl>
    <w:p>
      <w:pPr>
        <w:pStyle w:val="2"/>
        <w:numPr>
          <w:ilvl w:val="0"/>
          <w:numId w:val="1"/>
        </w:numPr>
      </w:pPr>
      <w:bookmarkStart w:id="15" w:name="_Toc91773153"/>
      <w:r>
        <w:t>民族分布</w:t>
      </w:r>
      <w:bookmarkEnd w:id="15"/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2021</w:t>
      </w:r>
      <w:r>
        <w:rPr>
          <w:rFonts w:ascii="Calibri" w:hAnsi="Calibri" w:eastAsia="宋体"/>
          <w:sz w:val="24"/>
          <w:szCs w:val="24"/>
        </w:rPr>
        <w:t>届毕业生中，</w:t>
      </w:r>
      <w:r>
        <w:rPr>
          <w:rFonts w:hint="eastAsia" w:ascii="Calibri" w:hAnsi="Calibri" w:eastAsia="宋体"/>
          <w:sz w:val="24"/>
          <w:szCs w:val="24"/>
        </w:rPr>
        <w:t>汉族</w:t>
      </w:r>
      <w:r>
        <w:rPr>
          <w:rFonts w:ascii="Times New Roman" w:hAnsi="Times New Roman" w:eastAsia="宋体" w:cs="Times New Roman"/>
          <w:sz w:val="24"/>
          <w:szCs w:val="24"/>
        </w:rPr>
        <w:t>3792</w:t>
      </w:r>
      <w:r>
        <w:rPr>
          <w:rFonts w:ascii="Calibri" w:hAnsi="Calibri" w:eastAsia="宋体"/>
          <w:sz w:val="24"/>
          <w:szCs w:val="24"/>
        </w:rPr>
        <w:t>人，占毕业生总人数的</w:t>
      </w:r>
      <w:r>
        <w:rPr>
          <w:rFonts w:ascii="Times New Roman" w:hAnsi="Times New Roman" w:eastAsia="宋体" w:cs="Times New Roman"/>
          <w:sz w:val="24"/>
          <w:szCs w:val="24"/>
        </w:rPr>
        <w:t>91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98%</w:t>
      </w:r>
      <w:r>
        <w:rPr>
          <w:rFonts w:ascii="Calibri" w:hAnsi="Calibri" w:eastAsia="宋体"/>
          <w:sz w:val="24"/>
          <w:szCs w:val="24"/>
        </w:rPr>
        <w:t>；少数民族共</w:t>
      </w:r>
      <w:r>
        <w:rPr>
          <w:rFonts w:ascii="Times New Roman" w:hAnsi="Times New Roman" w:eastAsia="宋体" w:cs="Times New Roman"/>
          <w:sz w:val="24"/>
          <w:szCs w:val="24"/>
        </w:rPr>
        <w:t>331</w:t>
      </w:r>
      <w:r>
        <w:rPr>
          <w:rFonts w:ascii="Calibri" w:hAnsi="Calibri" w:eastAsia="宋体"/>
          <w:sz w:val="24"/>
          <w:szCs w:val="24"/>
        </w:rPr>
        <w:t>人，占比为</w:t>
      </w:r>
      <w:r>
        <w:rPr>
          <w:rFonts w:ascii="Times New Roman" w:hAnsi="Times New Roman" w:eastAsia="宋体" w:cs="Times New Roman"/>
          <w:sz w:val="24"/>
          <w:szCs w:val="24"/>
        </w:rPr>
        <w:t>8</w:t>
      </w:r>
      <w:r>
        <w:rPr>
          <w:rFonts w:ascii="Calibri" w:hAnsi="Calibri" w:eastAsia="宋体"/>
          <w:sz w:val="24"/>
          <w:szCs w:val="24"/>
        </w:rPr>
        <w:t>.</w:t>
      </w:r>
      <w:r>
        <w:rPr>
          <w:rFonts w:ascii="Times New Roman" w:hAnsi="Times New Roman" w:eastAsia="宋体" w:cs="Times New Roman"/>
          <w:sz w:val="24"/>
          <w:szCs w:val="24"/>
        </w:rPr>
        <w:t>02%</w:t>
      </w:r>
      <w:r>
        <w:rPr>
          <w:rFonts w:ascii="Calibri" w:hAnsi="Calibri" w:eastAsia="宋体"/>
          <w:sz w:val="24"/>
          <w:szCs w:val="24"/>
        </w:rPr>
        <w:t>。少数民族中，土家族</w:t>
      </w:r>
      <w:r>
        <w:rPr>
          <w:rFonts w:ascii="Times New Roman" w:hAnsi="Times New Roman" w:eastAsia="宋体" w:cs="Times New Roman"/>
          <w:sz w:val="24"/>
          <w:szCs w:val="24"/>
        </w:rPr>
        <w:t>171</w:t>
      </w:r>
      <w:r>
        <w:rPr>
          <w:rFonts w:ascii="Calibri" w:hAnsi="Calibri" w:eastAsia="宋体"/>
          <w:sz w:val="24"/>
          <w:szCs w:val="24"/>
        </w:rPr>
        <w:t>人，苗族</w:t>
      </w:r>
      <w:r>
        <w:rPr>
          <w:rFonts w:ascii="Times New Roman" w:hAnsi="Times New Roman" w:eastAsia="宋体" w:cs="Times New Roman"/>
          <w:sz w:val="24"/>
          <w:szCs w:val="24"/>
        </w:rPr>
        <w:t>58</w:t>
      </w:r>
      <w:r>
        <w:rPr>
          <w:rFonts w:ascii="Calibri" w:hAnsi="Calibri" w:eastAsia="宋体"/>
          <w:sz w:val="24"/>
          <w:szCs w:val="24"/>
        </w:rPr>
        <w:t>人、回族</w:t>
      </w:r>
      <w:r>
        <w:rPr>
          <w:rFonts w:ascii="Times New Roman" w:hAnsi="Times New Roman" w:eastAsia="宋体" w:cs="Times New Roman"/>
          <w:sz w:val="24"/>
          <w:szCs w:val="24"/>
        </w:rPr>
        <w:t>19</w:t>
      </w:r>
      <w:r>
        <w:rPr>
          <w:rFonts w:ascii="Calibri" w:hAnsi="Calibri" w:eastAsia="宋体"/>
          <w:sz w:val="24"/>
          <w:szCs w:val="24"/>
        </w:rPr>
        <w:t>人、壮族</w:t>
      </w:r>
      <w:r>
        <w:rPr>
          <w:rFonts w:hint="eastAsia" w:ascii="Calibri" w:hAnsi="Calibri" w:eastAsia="宋体"/>
          <w:sz w:val="24"/>
          <w:szCs w:val="24"/>
        </w:rPr>
        <w:t>和满族</w:t>
      </w:r>
      <w:r>
        <w:rPr>
          <w:rFonts w:ascii="Calibri" w:hAnsi="Calibri" w:eastAsia="宋体"/>
          <w:sz w:val="24"/>
          <w:szCs w:val="24"/>
        </w:rPr>
        <w:t>均为</w:t>
      </w:r>
      <w:r>
        <w:rPr>
          <w:rFonts w:ascii="Times New Roman" w:hAnsi="Times New Roman" w:eastAsia="宋体" w:cs="Times New Roman"/>
          <w:sz w:val="24"/>
          <w:szCs w:val="24"/>
        </w:rPr>
        <w:t>14</w:t>
      </w:r>
      <w:r>
        <w:rPr>
          <w:rFonts w:ascii="Calibri" w:hAnsi="Calibri" w:eastAsia="宋体"/>
          <w:sz w:val="24"/>
          <w:szCs w:val="24"/>
        </w:rPr>
        <w:t>人，其他少数民族</w:t>
      </w:r>
      <w:r>
        <w:rPr>
          <w:rFonts w:ascii="Times New Roman" w:hAnsi="Times New Roman" w:eastAsia="宋体" w:cs="Times New Roman"/>
          <w:sz w:val="24"/>
          <w:szCs w:val="24"/>
        </w:rPr>
        <w:t>55</w:t>
      </w:r>
      <w:r>
        <w:rPr>
          <w:rFonts w:ascii="Calibri" w:hAnsi="Calibri" w:eastAsia="宋体"/>
          <w:sz w:val="24"/>
          <w:szCs w:val="24"/>
        </w:rPr>
        <w:t>人。</w:t>
      </w:r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</w:p>
    <w:p>
      <w:pPr>
        <w:pStyle w:val="25"/>
      </w:pPr>
      <w:bookmarkStart w:id="16" w:name="_Toc91773246"/>
      <w:bookmarkStart w:id="17" w:name="_Toc91253260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表1- \* ARABIC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民族分布</w:t>
      </w:r>
      <w:bookmarkEnd w:id="16"/>
      <w:bookmarkEnd w:id="17"/>
    </w:p>
    <w:tbl>
      <w:tblPr>
        <w:tblStyle w:val="26"/>
        <w:tblW w:w="5000" w:type="pct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500"/>
        <w:gridCol w:w="978"/>
        <w:gridCol w:w="1500"/>
        <w:gridCol w:w="978"/>
        <w:gridCol w:w="1500"/>
        <w:gridCol w:w="977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39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民族</w:t>
            </w:r>
          </w:p>
        </w:tc>
        <w:tc>
          <w:tcPr>
            <w:tcW w:w="1454" w:type="pct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本科生</w:t>
            </w:r>
          </w:p>
        </w:tc>
        <w:tc>
          <w:tcPr>
            <w:tcW w:w="1454" w:type="pct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研究生</w:t>
            </w:r>
          </w:p>
        </w:tc>
        <w:tc>
          <w:tcPr>
            <w:tcW w:w="1454" w:type="pct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总体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639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880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74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占比</w:t>
            </w:r>
          </w:p>
        </w:tc>
        <w:tc>
          <w:tcPr>
            <w:tcW w:w="880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74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占比</w:t>
            </w:r>
          </w:p>
        </w:tc>
        <w:tc>
          <w:tcPr>
            <w:tcW w:w="880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74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占比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汉族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3118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51%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674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3792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土家族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157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60%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苗族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58%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56%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回族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41%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70%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壮族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41%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满族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32%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蒙古族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28%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彝族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09%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藏族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18%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侗族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朝鲜族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06%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28%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黎族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布依族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09%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白族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06%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仡佬族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瑶族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06%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畲族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06%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维吾尔族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28%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土族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03%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其它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03%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拉祜族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03%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佤族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03%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傈僳族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03%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布朗族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14%</w:t>
            </w:r>
          </w:p>
        </w:tc>
        <w:tc>
          <w:tcPr>
            <w:tcW w:w="880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9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羌族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14%</w:t>
            </w:r>
          </w:p>
        </w:tc>
        <w:tc>
          <w:tcPr>
            <w:tcW w:w="880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74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02%</w:t>
            </w:r>
          </w:p>
        </w:tc>
      </w:tr>
    </w:tbl>
    <w:p>
      <w:pPr>
        <w:pStyle w:val="2"/>
        <w:numPr>
          <w:ilvl w:val="0"/>
          <w:numId w:val="1"/>
        </w:numPr>
      </w:pPr>
      <w:bookmarkStart w:id="18" w:name="_Toc91773154"/>
      <w:r>
        <w:t>困难毕业生情况</w:t>
      </w:r>
      <w:bookmarkEnd w:id="18"/>
    </w:p>
    <w:p>
      <w:pPr>
        <w:spacing w:line="360" w:lineRule="auto"/>
        <w:ind w:firstLine="480" w:firstLineChars="200"/>
        <w:rPr>
          <w:rFonts w:ascii="Calibri" w:hAnsi="Calibri" w:eastAsia="宋体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2021 届毕业生中，本科困难毕业生933人，研究生困难毕业生43人，共计976人。从困难毕业生类型来看，家庭经济困难学生</w:t>
      </w:r>
      <w:r>
        <w:rPr>
          <w:rStyle w:val="18"/>
          <w:rFonts w:ascii="Times New Roman" w:hAnsi="Times New Roman" w:eastAsia="宋体" w:cs="Times New Roman"/>
          <w:sz w:val="24"/>
          <w:szCs w:val="24"/>
        </w:rPr>
        <w:footnoteReference w:id="0"/>
      </w:r>
      <w:r>
        <w:rPr>
          <w:rFonts w:hint="eastAsia" w:ascii="Times New Roman" w:hAnsi="Times New Roman" w:eastAsia="宋体" w:cs="Times New Roman"/>
          <w:sz w:val="24"/>
          <w:szCs w:val="24"/>
        </w:rPr>
        <w:t>共951人，就业困难学生22人，其他困难学生3人。</w:t>
      </w:r>
    </w:p>
    <w:p>
      <w:pPr>
        <w:pStyle w:val="25"/>
      </w:pPr>
      <w:bookmarkStart w:id="19" w:name="_Toc91253261"/>
      <w:bookmarkStart w:id="20" w:name="_Toc91773247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表1- \* ARABIC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</w:t>
      </w:r>
      <w:r>
        <w:rPr>
          <w:rFonts w:hint="eastAsia"/>
        </w:rPr>
        <w:t>困难</w:t>
      </w:r>
      <w:r>
        <w:t>毕业生</w:t>
      </w:r>
      <w:r>
        <w:rPr>
          <w:rFonts w:hint="eastAsia"/>
        </w:rPr>
        <w:t>分布</w:t>
      </w:r>
      <w:bookmarkEnd w:id="19"/>
      <w:bookmarkEnd w:id="20"/>
    </w:p>
    <w:tbl>
      <w:tblPr>
        <w:tblStyle w:val="26"/>
        <w:tblW w:w="5369" w:type="pct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356"/>
        <w:gridCol w:w="1019"/>
        <w:gridCol w:w="1356"/>
        <w:gridCol w:w="1019"/>
        <w:gridCol w:w="1356"/>
        <w:gridCol w:w="1019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07" w:type="pct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1298" w:type="pct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本科生</w:t>
            </w:r>
          </w:p>
        </w:tc>
        <w:tc>
          <w:tcPr>
            <w:tcW w:w="1298" w:type="pct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研究生</w:t>
            </w:r>
          </w:p>
        </w:tc>
        <w:tc>
          <w:tcPr>
            <w:tcW w:w="1297" w:type="pct"/>
            <w:gridSpan w:val="2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总体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1107" w:type="pct"/>
            <w:vMerge w:val="continue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</w:tc>
        <w:tc>
          <w:tcPr>
            <w:tcW w:w="741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57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占比</w:t>
            </w:r>
          </w:p>
        </w:tc>
        <w:tc>
          <w:tcPr>
            <w:tcW w:w="741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57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占比</w:t>
            </w:r>
          </w:p>
        </w:tc>
        <w:tc>
          <w:tcPr>
            <w:tcW w:w="741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人数（人）</w:t>
            </w:r>
          </w:p>
        </w:tc>
        <w:tc>
          <w:tcPr>
            <w:tcW w:w="556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 w:val="0"/>
                <w:color w:val="FFFFFF" w:themeColor="background1"/>
                <w:kern w:val="0"/>
                <w:szCs w:val="21"/>
              </w:rPr>
              <w:t>占比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非困难生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2474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61%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673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93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3147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76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其他困难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638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18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72%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40%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648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脱贫家庭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177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191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城乡低保家庭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41%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84%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城镇零就业家庭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68%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就业困难生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32%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54%</w:t>
            </w:r>
          </w:p>
        </w:tc>
        <w:tc>
          <w:tcPr>
            <w:tcW w:w="74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556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07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Cs w:val="21"/>
              </w:rPr>
              <w:t>肢体残疾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06%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55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14%</w:t>
            </w:r>
          </w:p>
        </w:tc>
        <w:tc>
          <w:tcPr>
            <w:tcW w:w="74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6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07%</w:t>
            </w:r>
          </w:p>
        </w:tc>
      </w:tr>
    </w:tbl>
    <w:p>
      <w:pPr>
        <w:widowControl/>
        <w:jc w:val="left"/>
        <w:rPr>
          <w:rFonts w:ascii="Times New Roman" w:hAnsi="Times New Roman" w:eastAsia="宋体" w:cs="Times New Roman"/>
          <w:sz w:val="18"/>
          <w:szCs w:val="24"/>
          <w:lang w:val="en-SG"/>
        </w:rPr>
      </w:pPr>
      <w:r>
        <w:rPr>
          <w:b/>
          <w:lang w:val="en-SG"/>
        </w:rPr>
        <w:br w:type="page"/>
      </w:r>
    </w:p>
    <w:p>
      <w:pPr>
        <w:widowControl/>
        <w:jc w:val="left"/>
        <w:rPr>
          <w:sz w:val="36"/>
          <w:szCs w:val="32"/>
        </w:rPr>
        <w:sectPr>
          <w:headerReference r:id="rId4" w:type="default"/>
          <w:headerReference r:id="rId5" w:type="even"/>
          <w:pgSz w:w="11906" w:h="16838"/>
          <w:pgMar w:top="1701" w:right="1800" w:bottom="1440" w:left="1800" w:header="851" w:footer="992" w:gutter="0"/>
          <w:pgNumType w:start="3"/>
          <w:cols w:space="0" w:num="1"/>
          <w:docGrid w:type="lines" w:linePitch="312" w:charSpace="0"/>
        </w:sectPr>
      </w:pPr>
    </w:p>
    <w:p>
      <w:pPr>
        <w:widowControl/>
        <w:jc w:val="center"/>
        <w:rPr>
          <w:rFonts w:hint="eastAsia" w:ascii="方正粗宋简体" w:hAnsi="方正粗宋简体" w:eastAsia="方正粗宋简体" w:cs="方正粗宋简体"/>
          <w:b/>
          <w:bCs/>
          <w:sz w:val="36"/>
          <w:szCs w:val="32"/>
          <w:lang w:eastAsia="zh-CN"/>
        </w:rPr>
      </w:pPr>
      <w:r>
        <w:rPr>
          <w:rFonts w:hint="eastAsia" w:ascii="方正粗宋简体" w:hAnsi="方正粗宋简体" w:eastAsia="方正粗宋简体" w:cs="方正粗宋简体"/>
          <w:b/>
          <w:bCs/>
          <w:sz w:val="36"/>
          <w:szCs w:val="32"/>
          <w:lang w:eastAsia="zh-CN"/>
        </w:rPr>
        <w:t>毕业去向落实率及毕业去向</w:t>
      </w:r>
    </w:p>
    <w:p>
      <w:pPr>
        <w:pStyle w:val="2"/>
        <w:numPr>
          <w:ilvl w:val="0"/>
          <w:numId w:val="3"/>
        </w:numPr>
      </w:pPr>
      <w:bookmarkStart w:id="21" w:name="_Toc91773156"/>
      <w:r>
        <w:rPr>
          <w:rFonts w:hint="eastAsia"/>
        </w:rPr>
        <w:t>毕业</w:t>
      </w:r>
      <w:r>
        <w:t>去向落实率</w:t>
      </w:r>
      <w:bookmarkEnd w:id="21"/>
    </w:p>
    <w:p>
      <w:pPr>
        <w:pStyle w:val="3"/>
        <w:numPr>
          <w:ilvl w:val="0"/>
          <w:numId w:val="4"/>
        </w:numPr>
        <w:spacing w:before="156" w:after="156"/>
        <w:rPr>
          <w:sz w:val="24"/>
        </w:rPr>
      </w:pPr>
      <w:bookmarkStart w:id="22" w:name="_Toc91773157"/>
      <w:r>
        <w:rPr>
          <w:sz w:val="24"/>
        </w:rPr>
        <w:t>整体</w:t>
      </w:r>
      <w:r>
        <w:rPr>
          <w:rFonts w:hint="eastAsia"/>
          <w:sz w:val="24"/>
        </w:rPr>
        <w:t>毕业去向落实</w:t>
      </w:r>
      <w:r>
        <w:rPr>
          <w:sz w:val="24"/>
        </w:rPr>
        <w:t>率</w:t>
      </w:r>
      <w:bookmarkEnd w:id="22"/>
    </w:p>
    <w:p>
      <w:pPr>
        <w:pStyle w:val="28"/>
        <w:ind w:firstLine="480"/>
      </w:pPr>
      <w:r>
        <w:t>截</w:t>
      </w:r>
      <w:r>
        <w:rPr>
          <w:rFonts w:hint="eastAsia"/>
        </w:rPr>
        <w:t>至2</w:t>
      </w:r>
      <w:r>
        <w:t>021年</w:t>
      </w:r>
      <w:r>
        <w:rPr>
          <w:rFonts w:hint="eastAsia"/>
        </w:rPr>
        <w:t>8月3</w:t>
      </w:r>
      <w:r>
        <w:t>1日，学校</w:t>
      </w:r>
      <w:r>
        <w:rPr>
          <w:rFonts w:hint="eastAsia"/>
        </w:rPr>
        <w:t>2</w:t>
      </w:r>
      <w:r>
        <w:t>021届</w:t>
      </w:r>
      <w:r>
        <w:rPr>
          <w:rFonts w:hint="eastAsia"/>
        </w:rPr>
        <w:t>4</w:t>
      </w:r>
      <w:r>
        <w:t>123名毕业生中，有</w:t>
      </w:r>
      <w:r>
        <w:rPr>
          <w:rFonts w:hint="eastAsia"/>
        </w:rPr>
        <w:t>2</w:t>
      </w:r>
      <w:r>
        <w:t>999人确定了毕业去向，初次毕业去向落实率为</w:t>
      </w:r>
      <w:r>
        <w:rPr>
          <w:rFonts w:hint="eastAsia"/>
        </w:rPr>
        <w:t>7</w:t>
      </w:r>
      <w:r>
        <w:t>2.74%，本科毕业生初次毕业去向落实率为</w:t>
      </w:r>
      <w:r>
        <w:rPr>
          <w:rFonts w:hint="eastAsia"/>
        </w:rPr>
        <w:t>7</w:t>
      </w:r>
      <w:r>
        <w:t>1.38%，毕业研究生初次毕业去向落实率为</w:t>
      </w:r>
      <w:r>
        <w:rPr>
          <w:rFonts w:hint="eastAsia"/>
        </w:rPr>
        <w:t>7</w:t>
      </w:r>
      <w:r>
        <w:t>9.19%。</w:t>
      </w:r>
    </w:p>
    <w:p>
      <w:pPr>
        <w:pStyle w:val="28"/>
        <w:ind w:firstLine="480"/>
      </w:pPr>
      <w:r>
        <w:t>截至</w:t>
      </w:r>
      <w:r>
        <w:rPr>
          <w:rFonts w:hint="eastAsia"/>
        </w:rPr>
        <w:t>2</w:t>
      </w:r>
      <w:r>
        <w:t>021年</w:t>
      </w:r>
      <w:r>
        <w:rPr>
          <w:rFonts w:hint="eastAsia"/>
        </w:rPr>
        <w:t>1</w:t>
      </w:r>
      <w:r>
        <w:t>2月31日</w:t>
      </w:r>
      <w:r>
        <w:rPr>
          <w:rFonts w:hint="eastAsia"/>
        </w:rPr>
        <w:t>，学校2</w:t>
      </w:r>
      <w:r>
        <w:t>021届</w:t>
      </w:r>
      <w:r>
        <w:rPr>
          <w:rFonts w:hint="eastAsia"/>
        </w:rPr>
        <w:t>毕业生最终毕业去向落实率为8</w:t>
      </w:r>
      <w:r>
        <w:t>2.78</w:t>
      </w:r>
      <w:r>
        <w:rPr>
          <w:rFonts w:hint="eastAsia"/>
        </w:rPr>
        <w:t>%，</w:t>
      </w:r>
      <w:r>
        <w:t>本科毕业生最终毕业去向落实率为</w:t>
      </w:r>
      <w:r>
        <w:rPr>
          <w:rFonts w:hint="eastAsia"/>
        </w:rPr>
        <w:t>8</w:t>
      </w:r>
      <w:r>
        <w:t>1.16</w:t>
      </w:r>
      <w:r>
        <w:rPr>
          <w:rFonts w:hint="eastAsia"/>
        </w:rPr>
        <w:t>%，</w:t>
      </w:r>
      <w:r>
        <w:t>毕业研究生最终毕业去向落实率为90.50</w:t>
      </w:r>
      <w:r>
        <w:rPr>
          <w:rFonts w:hint="eastAsia"/>
        </w:rPr>
        <w:t>%。</w:t>
      </w:r>
    </w:p>
    <w:p>
      <w:pPr>
        <w:pStyle w:val="25"/>
        <w:ind w:left="420"/>
      </w:pPr>
      <w:bookmarkStart w:id="23" w:name="_Toc91773248"/>
      <w:r>
        <w:rPr>
          <w:rFonts w:hint="eastAsia"/>
        </w:rPr>
        <w:t>表</w:t>
      </w:r>
      <w: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t xml:space="preserve"> 2021届毕业生</w:t>
      </w:r>
      <w:r>
        <w:rPr>
          <w:rFonts w:hint="eastAsia"/>
        </w:rPr>
        <w:t>毕业</w:t>
      </w:r>
      <w:r>
        <w:t>去向落实率</w:t>
      </w:r>
      <w:bookmarkEnd w:id="23"/>
    </w:p>
    <w:tbl>
      <w:tblPr>
        <w:tblStyle w:val="26"/>
        <w:tblW w:w="5000" w:type="pct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469"/>
        <w:gridCol w:w="1383"/>
        <w:gridCol w:w="1424"/>
        <w:gridCol w:w="1424"/>
        <w:gridCol w:w="1589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</w:tblPrEx>
        <w:tc>
          <w:tcPr>
            <w:tcW w:w="724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</w:p>
        </w:tc>
        <w:tc>
          <w:tcPr>
            <w:tcW w:w="862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1"/>
                <w:szCs w:val="21"/>
              </w:rPr>
              <w:t>毕业人数（人）</w:t>
            </w:r>
          </w:p>
        </w:tc>
        <w:tc>
          <w:tcPr>
            <w:tcW w:w="811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1"/>
                <w:szCs w:val="21"/>
              </w:rPr>
              <w:t>初次就业人数</w:t>
            </w:r>
          </w:p>
        </w:tc>
        <w:tc>
          <w:tcPr>
            <w:tcW w:w="835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1"/>
                <w:szCs w:val="21"/>
              </w:rPr>
              <w:t>初次毕业去向落实率</w:t>
            </w:r>
          </w:p>
        </w:tc>
        <w:tc>
          <w:tcPr>
            <w:tcW w:w="835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1"/>
                <w:szCs w:val="21"/>
              </w:rPr>
              <w:t>最终就业人数（人）</w:t>
            </w:r>
          </w:p>
        </w:tc>
        <w:tc>
          <w:tcPr>
            <w:tcW w:w="932" w:type="pct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1"/>
                <w:szCs w:val="21"/>
              </w:rPr>
              <w:t>最终毕业去向落实率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  <w:tcBorders>
              <w:left w:val="single" w:color="FFFFFF" w:themeColor="background1" w:sz="4" w:space="0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FFFFFF" w:themeColor="background1"/>
                <w:sz w:val="21"/>
                <w:szCs w:val="21"/>
              </w:rPr>
              <w:t>总体</w:t>
            </w:r>
          </w:p>
        </w:tc>
        <w:tc>
          <w:tcPr>
            <w:tcW w:w="862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4123</w:t>
            </w:r>
          </w:p>
        </w:tc>
        <w:tc>
          <w:tcPr>
            <w:tcW w:w="811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2999</w:t>
            </w:r>
          </w:p>
        </w:tc>
        <w:tc>
          <w:tcPr>
            <w:tcW w:w="835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72.74%</w:t>
            </w:r>
          </w:p>
        </w:tc>
        <w:tc>
          <w:tcPr>
            <w:tcW w:w="835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3413</w:t>
            </w:r>
          </w:p>
        </w:tc>
        <w:tc>
          <w:tcPr>
            <w:tcW w:w="932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82.78%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  <w:tcBorders>
              <w:left w:val="single" w:color="FFFFFF" w:themeColor="background1" w:sz="4" w:space="0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  <w:r>
              <w:rPr>
                <w:rFonts w:hint="eastAsia" w:ascii="Calibri" w:hAnsi="Calibri"/>
                <w:b/>
                <w:bCs/>
                <w:color w:val="FFFFFF" w:themeColor="background1"/>
                <w:sz w:val="21"/>
                <w:szCs w:val="21"/>
              </w:rPr>
              <w:t>本科</w:t>
            </w:r>
          </w:p>
        </w:tc>
        <w:tc>
          <w:tcPr>
            <w:tcW w:w="862" w:type="pct"/>
            <w:shd w:val="clear" w:color="auto" w:fill="D9E2F3" w:themeFill="accent5" w:themeFillTint="33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3407</w:t>
            </w:r>
          </w:p>
        </w:tc>
        <w:tc>
          <w:tcPr>
            <w:tcW w:w="811" w:type="pct"/>
            <w:shd w:val="clear" w:color="auto" w:fill="D9E2F3" w:themeFill="accent5" w:themeFillTint="33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2432</w:t>
            </w:r>
          </w:p>
        </w:tc>
        <w:tc>
          <w:tcPr>
            <w:tcW w:w="835" w:type="pct"/>
            <w:shd w:val="clear" w:color="auto" w:fill="D9E2F3" w:themeFill="accent5" w:themeFillTint="33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71.38%</w:t>
            </w:r>
          </w:p>
        </w:tc>
        <w:tc>
          <w:tcPr>
            <w:tcW w:w="835" w:type="pct"/>
            <w:shd w:val="clear" w:color="auto" w:fill="D9E2F3" w:themeFill="accent5" w:themeFillTint="33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2765</w:t>
            </w:r>
          </w:p>
        </w:tc>
        <w:tc>
          <w:tcPr>
            <w:tcW w:w="932" w:type="pct"/>
            <w:shd w:val="clear" w:color="auto" w:fill="D9E2F3" w:themeFill="accent5" w:themeFillTint="33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81.16%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4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b w:val="0"/>
                <w:bCs w:val="0"/>
                <w:color w:val="FFFFFF" w:themeColor="background1"/>
                <w:sz w:val="21"/>
                <w:szCs w:val="21"/>
              </w:rPr>
            </w:pPr>
            <w:r>
              <w:rPr>
                <w:rFonts w:ascii="Calibri" w:hAnsi="Calibri"/>
                <w:b/>
                <w:bCs/>
                <w:color w:val="FFFFFF" w:themeColor="background1"/>
                <w:sz w:val="21"/>
                <w:szCs w:val="21"/>
              </w:rPr>
              <w:t>研究生</w:t>
            </w:r>
          </w:p>
        </w:tc>
        <w:tc>
          <w:tcPr>
            <w:tcW w:w="862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716</w:t>
            </w:r>
          </w:p>
        </w:tc>
        <w:tc>
          <w:tcPr>
            <w:tcW w:w="811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567</w:t>
            </w:r>
          </w:p>
        </w:tc>
        <w:tc>
          <w:tcPr>
            <w:tcW w:w="835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79.19%</w:t>
            </w:r>
          </w:p>
        </w:tc>
        <w:tc>
          <w:tcPr>
            <w:tcW w:w="835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648</w:t>
            </w:r>
          </w:p>
        </w:tc>
        <w:tc>
          <w:tcPr>
            <w:tcW w:w="932" w:type="pct"/>
            <w:shd w:val="clear" w:color="auto" w:fill="B4C6E7" w:themeFill="accent5" w:themeFillTint="66"/>
          </w:tcPr>
          <w:p>
            <w:pPr>
              <w:pStyle w:val="28"/>
              <w:spacing w:line="240" w:lineRule="auto"/>
              <w:ind w:firstLine="0" w:firstLineChars="0"/>
              <w:jc w:val="center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90.50%</w:t>
            </w:r>
          </w:p>
        </w:tc>
      </w:tr>
    </w:tbl>
    <w:p>
      <w:pPr>
        <w:pStyle w:val="3"/>
        <w:numPr>
          <w:ilvl w:val="0"/>
          <w:numId w:val="4"/>
        </w:numPr>
        <w:spacing w:before="156" w:after="156"/>
        <w:rPr>
          <w:sz w:val="24"/>
        </w:rPr>
      </w:pPr>
      <w:bookmarkStart w:id="24" w:name="_Toc91773158"/>
      <w:r>
        <w:rPr>
          <w:rFonts w:hint="eastAsia"/>
          <w:sz w:val="24"/>
        </w:rPr>
        <w:t>分</w:t>
      </w:r>
      <w:r>
        <w:rPr>
          <w:sz w:val="24"/>
        </w:rPr>
        <w:t>专业</w:t>
      </w:r>
      <w:r>
        <w:rPr>
          <w:rFonts w:hint="eastAsia"/>
          <w:sz w:val="24"/>
        </w:rPr>
        <w:t>毕业</w:t>
      </w:r>
      <w:r>
        <w:rPr>
          <w:sz w:val="24"/>
        </w:rPr>
        <w:t>去向落实率</w:t>
      </w:r>
      <w:bookmarkEnd w:id="24"/>
    </w:p>
    <w:p>
      <w:pPr>
        <w:pStyle w:val="28"/>
        <w:numPr>
          <w:ilvl w:val="0"/>
          <w:numId w:val="5"/>
        </w:numPr>
        <w:ind w:left="0" w:firstLine="420" w:firstLineChars="0"/>
        <w:rPr>
          <w:b/>
        </w:rPr>
      </w:pPr>
      <w:r>
        <w:rPr>
          <w:rFonts w:hint="eastAsia"/>
          <w:b/>
        </w:rPr>
        <w:t>本科毕业生</w:t>
      </w:r>
    </w:p>
    <w:p>
      <w:pPr>
        <w:pStyle w:val="28"/>
        <w:ind w:firstLine="480"/>
      </w:pPr>
      <w:r>
        <w:t>国际教育学院</w:t>
      </w:r>
      <w:r>
        <w:rPr>
          <w:rFonts w:hint="eastAsia"/>
        </w:rPr>
        <w:t>、</w:t>
      </w:r>
      <w:r>
        <w:t>国际工商管理学院</w:t>
      </w:r>
      <w:r>
        <w:rPr>
          <w:rFonts w:hint="eastAsia"/>
        </w:rPr>
        <w:t>、</w:t>
      </w:r>
      <w:r>
        <w:t>西方语言文化学院等本科毕业生毕业去向落实率相对较高</w:t>
      </w:r>
      <w:r>
        <w:rPr>
          <w:rFonts w:hint="eastAsia"/>
        </w:rPr>
        <w:t>；越南语、广告学、电子商务、教育学、旅游管理、葡萄牙语、财务管理、人力资源管理、外交学、西班牙语、阿拉伯语、新闻学、泰语、匈牙利语1</w:t>
      </w:r>
      <w:r>
        <w:t>4个</w:t>
      </w:r>
      <w:r>
        <w:rPr>
          <w:rFonts w:hint="eastAsia"/>
        </w:rPr>
        <w:t>专业</w:t>
      </w:r>
      <w:r>
        <w:t>本科毕业生毕业去向落实率</w:t>
      </w:r>
      <w:r>
        <w:rPr>
          <w:rFonts w:hint="eastAsia"/>
          <w:lang w:eastAsia="zh-Hans"/>
        </w:rPr>
        <w:t>超过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%。</w:t>
      </w:r>
    </w:p>
    <w:p>
      <w:pPr>
        <w:pStyle w:val="25"/>
        <w:ind w:left="420"/>
      </w:pPr>
      <w:bookmarkStart w:id="25" w:name="_Toc91773249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届毕业生分专业</w:t>
      </w:r>
      <w:r>
        <w:rPr>
          <w:rFonts w:hint="eastAsia"/>
        </w:rPr>
        <w:t>毕业</w:t>
      </w:r>
      <w:r>
        <w:t>去向落实率（本科）</w:t>
      </w:r>
      <w:bookmarkEnd w:id="25"/>
    </w:p>
    <w:tbl>
      <w:tblPr>
        <w:tblStyle w:val="26"/>
        <w:tblW w:w="8359" w:type="dxa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4"/>
        <w:gridCol w:w="2316"/>
        <w:gridCol w:w="1060"/>
        <w:gridCol w:w="1060"/>
        <w:gridCol w:w="1809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tblHeader/>
          <w:jc w:val="center"/>
        </w:trPr>
        <w:tc>
          <w:tcPr>
            <w:tcW w:w="0" w:type="auto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学院</w:t>
            </w:r>
          </w:p>
        </w:tc>
        <w:tc>
          <w:tcPr>
            <w:tcW w:w="0" w:type="auto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专业</w:t>
            </w:r>
          </w:p>
        </w:tc>
        <w:tc>
          <w:tcPr>
            <w:tcW w:w="0" w:type="auto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毕业人数</w:t>
            </w:r>
          </w:p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（人）</w:t>
            </w:r>
          </w:p>
        </w:tc>
        <w:tc>
          <w:tcPr>
            <w:tcW w:w="0" w:type="auto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就业人数</w:t>
            </w:r>
          </w:p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（人）</w:t>
            </w:r>
          </w:p>
        </w:tc>
        <w:tc>
          <w:tcPr>
            <w:tcW w:w="1809" w:type="dxa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就业率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英语学院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英语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678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446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65.78%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国际关系学院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100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87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87.00%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国际政治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44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34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77.27%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外交学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51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48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94.12%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英语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国际工商管理学院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342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324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94.74%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财务管理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152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146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96.05%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人力资源管理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39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37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94.87%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审计学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39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35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89.74%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物流管理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37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33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89.19%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电子商务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41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40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97.56%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旅游管理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34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33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97.06%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新闻传播学院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297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260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87.54%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新闻学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47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43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91.49%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广播电视学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57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50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87.72%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广告学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46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45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97.83%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网络与新媒体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51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44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86.27%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广播电视编导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50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37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74.00%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播音与主持艺术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46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41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89.13%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翻译学院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翻译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98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88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89.80%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东方语言文化学院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176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159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90.34%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阿拉伯语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45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42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93.33%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朝鲜语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87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75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86.21%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泰语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23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21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91.30%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越南语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21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21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日语学院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日语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109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90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82.57%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俄语学院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俄语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75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62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82.67%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德语学院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德语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110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90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81.82%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法语学院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法语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105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77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73.33%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西方语言文化学院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152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140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92.11%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西班牙语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82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77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93.90%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葡萄牙语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29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28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96.55%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意大利语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31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26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83.87%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匈牙利语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中国语言文化学院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237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195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82.28%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汉语言文学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114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94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82.46%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汉语国际教育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123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101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82.11%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商务英语学院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424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344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81.13%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商务英语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325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260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商务英语（中外办学）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99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84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84.85%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国际教育学院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教育学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74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72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97.30%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国际法学与社会学院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192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149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77.60%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法学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67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50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74.63%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社会学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55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42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76.36%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社会工作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70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57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81.43%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szCs w:val="21"/>
              </w:rPr>
              <w:t>国际金融与贸易学院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全院合计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238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182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/>
                <w:szCs w:val="21"/>
              </w:rPr>
            </w:pPr>
            <w:r>
              <w:rPr>
                <w:rFonts w:ascii="Calibri" w:hAnsi="Calibri" w:eastAsia="宋体" w:cs="Times New Roman"/>
                <w:b/>
                <w:szCs w:val="21"/>
              </w:rPr>
              <w:t>76.47%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B4C6E7" w:themeFill="accent5" w:themeFillTint="66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金融学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109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79</w:t>
            </w:r>
          </w:p>
        </w:tc>
        <w:tc>
          <w:tcPr>
            <w:tcW w:w="1809" w:type="dxa"/>
            <w:shd w:val="clear" w:color="auto" w:fill="B4C6E7" w:themeFill="accent5" w:themeFillTint="66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72.48%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szCs w:val="21"/>
              </w:rPr>
            </w:pPr>
          </w:p>
        </w:tc>
        <w:tc>
          <w:tcPr>
            <w:tcW w:w="0" w:type="auto"/>
            <w:shd w:val="clear" w:color="auto" w:fill="D9E2F3" w:themeFill="accent5" w:themeFillTint="33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国际经济与贸易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129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103</w:t>
            </w:r>
          </w:p>
        </w:tc>
        <w:tc>
          <w:tcPr>
            <w:tcW w:w="1809" w:type="dxa"/>
            <w:shd w:val="clear" w:color="auto" w:fill="D9E2F3" w:themeFill="accent5" w:themeFillTint="33"/>
            <w:noWrap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ascii="Calibri" w:hAnsi="Calibri" w:eastAsia="宋体" w:cs="Times New Roman"/>
                <w:szCs w:val="21"/>
              </w:rPr>
              <w:t>79.84%</w:t>
            </w:r>
          </w:p>
        </w:tc>
      </w:tr>
    </w:tbl>
    <w:p>
      <w:pPr>
        <w:pStyle w:val="28"/>
        <w:numPr>
          <w:ilvl w:val="0"/>
          <w:numId w:val="5"/>
        </w:numPr>
        <w:ind w:left="0" w:firstLine="420" w:firstLineChars="0"/>
        <w:rPr>
          <w:b/>
        </w:rPr>
      </w:pPr>
      <w:r>
        <w:rPr>
          <w:rFonts w:hint="eastAsia"/>
          <w:b/>
        </w:rPr>
        <w:t>毕业研究生</w:t>
      </w:r>
    </w:p>
    <w:p>
      <w:pPr>
        <w:pStyle w:val="28"/>
        <w:ind w:firstLine="480"/>
      </w:pPr>
      <w:r>
        <w:rPr>
          <w:rFonts w:hint="eastAsia"/>
        </w:rPr>
        <w:t>国际关系学院、</w:t>
      </w:r>
      <w:r>
        <w:t>西方语言文化学院</w:t>
      </w:r>
      <w:r>
        <w:rPr>
          <w:rFonts w:hint="eastAsia"/>
        </w:rPr>
        <w:t>、</w:t>
      </w:r>
      <w:r>
        <w:t>商务英语学院</w:t>
      </w:r>
      <w:r>
        <w:rPr>
          <w:rFonts w:hint="eastAsia"/>
        </w:rPr>
        <w:t>、</w:t>
      </w:r>
      <w:r>
        <w:t>国际法学与社会学院</w:t>
      </w:r>
      <w:r>
        <w:rPr>
          <w:rFonts w:hint="eastAsia"/>
        </w:rPr>
        <w:t>4个学院</w:t>
      </w:r>
      <w:r>
        <w:t>毕业研究生毕业去向落实率达到</w:t>
      </w:r>
      <w:r>
        <w:rPr>
          <w:rFonts w:hint="eastAsia"/>
        </w:rPr>
        <w:t>1</w:t>
      </w:r>
      <w:r>
        <w:t>00</w:t>
      </w:r>
      <w:r>
        <w:rPr>
          <w:rFonts w:hint="eastAsia"/>
        </w:rPr>
        <w:t>%；比较制度学、阿拉伯语语言文学、亚非语言文学、朝鲜语口译、日语语言文学、日语口译、俄语语言文学、俄语口译、德语语言文学、德语口译、法语语言文学、欧洲语言文学、西班牙语语言文学、汉语言文字学、中国古代文学、中国现当代文学、比较文学与世界文学、外国语言学及应用语言学（商务英语研究）、教育管理、学科教学（英语）、社会工作、汉语国际教育、英语口译、英语笔译、德语笔译、国际商务、外国语言学及应用语言学、马克思主义理论、法语笔译、文艺与传媒、朝鲜语笔译</w:t>
      </w:r>
      <w:r>
        <w:t>31个专业</w:t>
      </w:r>
      <w:r>
        <w:rPr>
          <w:rFonts w:hint="eastAsia"/>
        </w:rPr>
        <w:t>毕业研究生</w:t>
      </w:r>
      <w:r>
        <w:t>毕业去向落实率</w:t>
      </w:r>
      <w:r>
        <w:rPr>
          <w:rFonts w:hint="eastAsia"/>
          <w:lang w:eastAsia="zh-Hans"/>
        </w:rPr>
        <w:t>超过</w:t>
      </w:r>
      <w:r>
        <w:rPr>
          <w:rFonts w:hint="eastAsia"/>
        </w:rPr>
        <w:t>9</w:t>
      </w:r>
      <w:r>
        <w:t>0</w:t>
      </w:r>
      <w:r>
        <w:rPr>
          <w:rFonts w:hint="eastAsia"/>
        </w:rPr>
        <w:t>%。</w:t>
      </w:r>
    </w:p>
    <w:p>
      <w:pPr>
        <w:pStyle w:val="25"/>
        <w:ind w:left="420"/>
      </w:pPr>
      <w:bookmarkStart w:id="26" w:name="_Toc91773250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届毕业生分专业</w:t>
      </w:r>
      <w:r>
        <w:rPr>
          <w:rFonts w:hint="eastAsia"/>
        </w:rPr>
        <w:t>毕业</w:t>
      </w:r>
      <w:r>
        <w:t>去向落实率（</w:t>
      </w:r>
      <w:r>
        <w:rPr>
          <w:rFonts w:hint="eastAsia"/>
        </w:rPr>
        <w:t>研究生</w:t>
      </w:r>
      <w:r>
        <w:t>）</w:t>
      </w:r>
      <w:bookmarkEnd w:id="26"/>
    </w:p>
    <w:tbl>
      <w:tblPr>
        <w:tblStyle w:val="26"/>
        <w:tblW w:w="5174" w:type="pct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3131"/>
        <w:gridCol w:w="1311"/>
        <w:gridCol w:w="1141"/>
        <w:gridCol w:w="984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  <w:tblHeader/>
          <w:jc w:val="center"/>
        </w:trPr>
        <w:tc>
          <w:tcPr>
            <w:tcW w:w="1277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学院</w:t>
            </w:r>
          </w:p>
        </w:tc>
        <w:tc>
          <w:tcPr>
            <w:tcW w:w="1775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专业</w:t>
            </w:r>
          </w:p>
        </w:tc>
        <w:tc>
          <w:tcPr>
            <w:tcW w:w="743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毕业人数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（人）</w:t>
            </w:r>
          </w:p>
        </w:tc>
        <w:tc>
          <w:tcPr>
            <w:tcW w:w="647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就业人数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（人）</w:t>
            </w:r>
          </w:p>
        </w:tc>
        <w:tc>
          <w:tcPr>
            <w:tcW w:w="558" w:type="pct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就业率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英语学院</w:t>
            </w:r>
          </w:p>
        </w:tc>
        <w:tc>
          <w:tcPr>
            <w:tcW w:w="1775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150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121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80.67%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英语语言文学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77.19%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外国语言学及应用语言学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91.67%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国际关系学院</w:t>
            </w: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比较制度学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新闻传播学院</w:t>
            </w: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44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72.73%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文艺与传媒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新闻与传播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67.65%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翻译学院</w:t>
            </w: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189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93.12%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英语语言文学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 w:val="20"/>
                <w:szCs w:val="21"/>
              </w:rPr>
              <w:t>（翻译理论与实践）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86.67%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英语笔译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93.94%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英语口译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95.00%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东方语言文化学院</w:t>
            </w:r>
          </w:p>
        </w:tc>
        <w:tc>
          <w:tcPr>
            <w:tcW w:w="1775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26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96.15%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阿拉伯语语言文学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亚非语言文学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朝鲜语笔译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朝鲜语口译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日语学院</w:t>
            </w: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93.75%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日语语言文学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日语笔译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83.33%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日语口译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俄语学院</w:t>
            </w:r>
          </w:p>
        </w:tc>
        <w:tc>
          <w:tcPr>
            <w:tcW w:w="1775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32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30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93.75%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俄语语言文学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俄语笔译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83.33%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俄语口译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德语学院</w:t>
            </w:r>
          </w:p>
        </w:tc>
        <w:tc>
          <w:tcPr>
            <w:tcW w:w="1775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36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35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97.22%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德语语言文学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德语笔译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93.33%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德语口译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法语学院</w:t>
            </w:r>
          </w:p>
        </w:tc>
        <w:tc>
          <w:tcPr>
            <w:tcW w:w="1775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95.00%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法语语言文学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法语笔译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90.91%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西方语言文化学院</w:t>
            </w: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欧洲语言文学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西班牙语语言文学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中国语言文化学院</w:t>
            </w: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75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72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96.00%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汉语国际教育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97.67%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文艺学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语言学及应用语言学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85.71%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汉语言文字学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中国古代文学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中国现当代文学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比较文学与世界文学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马克思主义学院</w:t>
            </w: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马克思主义理论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12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11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91.67%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27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商务英语学院</w:t>
            </w: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外国语言学及应用语言学</w:t>
            </w:r>
          </w:p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（商务英语研究）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国际教育学院</w:t>
            </w: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全院合计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29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28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96.55%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课程与教学论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88.89%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教育管理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学科教学(英语)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国际法学与社会学院</w:t>
            </w:r>
          </w:p>
        </w:tc>
        <w:tc>
          <w:tcPr>
            <w:tcW w:w="1775" w:type="pct"/>
            <w:shd w:val="clear" w:color="auto" w:fill="B4C6E7" w:themeFill="accent5" w:themeFillTint="66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社会工作</w:t>
            </w:r>
          </w:p>
        </w:tc>
        <w:tc>
          <w:tcPr>
            <w:tcW w:w="743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647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14</w:t>
            </w:r>
          </w:p>
        </w:tc>
        <w:tc>
          <w:tcPr>
            <w:tcW w:w="558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100.00%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77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国际金融与贸易学院</w:t>
            </w:r>
          </w:p>
        </w:tc>
        <w:tc>
          <w:tcPr>
            <w:tcW w:w="1775" w:type="pct"/>
            <w:shd w:val="clear" w:color="auto" w:fill="D9E2F3" w:themeFill="accent5" w:themeFillTint="33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国际商务</w:t>
            </w:r>
          </w:p>
        </w:tc>
        <w:tc>
          <w:tcPr>
            <w:tcW w:w="743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25</w:t>
            </w:r>
          </w:p>
        </w:tc>
        <w:tc>
          <w:tcPr>
            <w:tcW w:w="647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23</w:t>
            </w:r>
          </w:p>
        </w:tc>
        <w:tc>
          <w:tcPr>
            <w:tcW w:w="558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color w:val="000000"/>
                <w:kern w:val="0"/>
                <w:szCs w:val="21"/>
              </w:rPr>
              <w:t>92.00%</w:t>
            </w:r>
          </w:p>
        </w:tc>
      </w:tr>
    </w:tbl>
    <w:p>
      <w:pPr>
        <w:pStyle w:val="2"/>
        <w:numPr>
          <w:ilvl w:val="0"/>
          <w:numId w:val="3"/>
        </w:numPr>
      </w:pPr>
      <w:bookmarkStart w:id="27" w:name="_Toc91773159"/>
      <w:r>
        <w:t>毕业去向</w:t>
      </w:r>
      <w:bookmarkEnd w:id="27"/>
    </w:p>
    <w:p>
      <w:pPr>
        <w:pStyle w:val="3"/>
        <w:numPr>
          <w:ilvl w:val="0"/>
          <w:numId w:val="6"/>
        </w:numPr>
        <w:spacing w:before="156" w:after="156"/>
        <w:rPr>
          <w:sz w:val="24"/>
        </w:rPr>
      </w:pPr>
      <w:bookmarkStart w:id="28" w:name="_Toc91773160"/>
      <w:r>
        <w:rPr>
          <w:rFonts w:hint="eastAsia"/>
          <w:sz w:val="24"/>
        </w:rPr>
        <w:t>就业类别</w:t>
      </w:r>
      <w:bookmarkEnd w:id="28"/>
    </w:p>
    <w:p>
      <w:pPr>
        <w:pStyle w:val="28"/>
        <w:ind w:firstLine="480"/>
      </w:pPr>
      <w:r>
        <w:rPr>
          <w:rFonts w:hint="eastAsia"/>
        </w:rPr>
        <w:t>学校2021届毕业生以签订协议和合同就业为主，占比为41.84%。本科毕业生占比为37.04%，毕业研究生占比为64.66%。</w:t>
      </w:r>
    </w:p>
    <w:p>
      <w:pPr>
        <w:pStyle w:val="25"/>
        <w:ind w:left="420"/>
      </w:pPr>
      <w:bookmarkStart w:id="29" w:name="_Toc91773251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就业类别</w:t>
      </w:r>
      <w:r>
        <w:t>分布</w:t>
      </w:r>
      <w:bookmarkEnd w:id="29"/>
    </w:p>
    <w:tbl>
      <w:tblPr>
        <w:tblStyle w:val="26"/>
        <w:tblW w:w="0" w:type="auto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983"/>
        <w:gridCol w:w="849"/>
        <w:gridCol w:w="875"/>
        <w:gridCol w:w="849"/>
        <w:gridCol w:w="875"/>
        <w:gridCol w:w="849"/>
        <w:gridCol w:w="875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2"/>
            <w:vMerge w:val="restar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就业类别</w:t>
            </w:r>
          </w:p>
        </w:tc>
        <w:tc>
          <w:tcPr>
            <w:tcW w:w="0" w:type="auto"/>
            <w:gridSpan w:val="2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本科生</w:t>
            </w:r>
          </w:p>
        </w:tc>
        <w:tc>
          <w:tcPr>
            <w:tcW w:w="0" w:type="auto"/>
            <w:gridSpan w:val="2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研究生</w:t>
            </w:r>
          </w:p>
        </w:tc>
        <w:tc>
          <w:tcPr>
            <w:tcW w:w="0" w:type="auto"/>
            <w:gridSpan w:val="2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总体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0" w:type="auto"/>
            <w:gridSpan w:val="2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/>
                <w:kern w:val="0"/>
                <w:szCs w:val="21"/>
              </w:rPr>
            </w:pPr>
          </w:p>
        </w:tc>
        <w:tc>
          <w:tcPr>
            <w:tcW w:w="0" w:type="auto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人数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（人）</w:t>
            </w:r>
          </w:p>
        </w:tc>
        <w:tc>
          <w:tcPr>
            <w:tcW w:w="0" w:type="auto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占比</w:t>
            </w:r>
          </w:p>
        </w:tc>
        <w:tc>
          <w:tcPr>
            <w:tcW w:w="0" w:type="auto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人数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（人）</w:t>
            </w:r>
          </w:p>
        </w:tc>
        <w:tc>
          <w:tcPr>
            <w:tcW w:w="0" w:type="auto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占比</w:t>
            </w:r>
          </w:p>
        </w:tc>
        <w:tc>
          <w:tcPr>
            <w:tcW w:w="0" w:type="auto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人数</w:t>
            </w:r>
          </w:p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（人）</w:t>
            </w:r>
          </w:p>
        </w:tc>
        <w:tc>
          <w:tcPr>
            <w:tcW w:w="0" w:type="auto"/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/>
                <w:kern w:val="0"/>
                <w:szCs w:val="21"/>
              </w:rPr>
              <w:t>占比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2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 w:val="22"/>
              </w:rPr>
              <w:t>协议和合同就业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37.04%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463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64.66%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41.84%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2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 w:val="22"/>
              </w:rPr>
              <w:t>自主创业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1.00%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0.14%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0.85%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 w:val="22"/>
              </w:rPr>
              <w:t>灵活就业</w:t>
            </w:r>
          </w:p>
        </w:tc>
        <w:tc>
          <w:tcPr>
            <w:tcW w:w="0" w:type="auto"/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b/>
                <w:color w:val="FFFFFF" w:themeColor="background1"/>
                <w:kern w:val="0"/>
                <w:sz w:val="22"/>
              </w:rPr>
              <w:t>其他录用形式就业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342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10.04%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99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13.83%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441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10.70%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b/>
                <w:color w:val="FFFFFF" w:themeColor="background1"/>
                <w:kern w:val="0"/>
                <w:sz w:val="22"/>
              </w:rPr>
              <w:t>自由职业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369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10.83%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69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9.64%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438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10.62%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restar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bCs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 w:val="22"/>
              </w:rPr>
              <w:t>升学</w:t>
            </w:r>
          </w:p>
        </w:tc>
        <w:tc>
          <w:tcPr>
            <w:tcW w:w="0" w:type="auto"/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Calibri" w:hAnsi="Calibri" w:eastAsia="宋体" w:cs="宋体"/>
                <w:b/>
                <w:color w:val="FFFFFF" w:themeColor="background1"/>
                <w:kern w:val="0"/>
                <w:sz w:val="22"/>
              </w:rPr>
              <w:t>国内升学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504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14.79%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0.98%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511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12.39%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vMerge w:val="continue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 w:val="22"/>
              </w:rPr>
            </w:pPr>
          </w:p>
        </w:tc>
        <w:tc>
          <w:tcPr>
            <w:tcW w:w="0" w:type="auto"/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/>
                <w:color w:val="FFFFFF" w:themeColor="background1"/>
                <w:kern w:val="0"/>
                <w:sz w:val="22"/>
              </w:rPr>
            </w:pPr>
            <w:r>
              <w:rPr>
                <w:rFonts w:ascii="Calibri" w:hAnsi="Calibri" w:eastAsia="宋体" w:cs="宋体"/>
                <w:b/>
                <w:color w:val="FFFFFF" w:themeColor="background1"/>
                <w:kern w:val="0"/>
                <w:sz w:val="22"/>
              </w:rPr>
              <w:t>出国</w:t>
            </w:r>
            <w:r>
              <w:rPr>
                <w:rFonts w:hint="eastAsia" w:ascii="Calibri" w:hAnsi="Calibri" w:eastAsia="宋体" w:cs="宋体"/>
                <w:b/>
                <w:color w:val="FFFFFF" w:themeColor="background1"/>
                <w:kern w:val="0"/>
                <w:sz w:val="22"/>
              </w:rPr>
              <w:t>出境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254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7.46%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1.26%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263</w:t>
            </w:r>
          </w:p>
        </w:tc>
        <w:tc>
          <w:tcPr>
            <w:tcW w:w="0" w:type="auto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2"/>
              </w:rPr>
              <w:t>6.38%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gridSpan w:val="2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b w:val="0"/>
                <w:bCs w:val="0"/>
                <w:color w:val="FFFFFF" w:themeColor="background1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b/>
                <w:bCs/>
                <w:color w:val="FFFFFF" w:themeColor="background1"/>
                <w:kern w:val="0"/>
                <w:sz w:val="22"/>
              </w:rPr>
              <w:t>待就业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642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18.84%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9.50%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710</w:t>
            </w:r>
          </w:p>
        </w:tc>
        <w:tc>
          <w:tcPr>
            <w:tcW w:w="0" w:type="auto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2"/>
              </w:rPr>
              <w:t>17.22%</w:t>
            </w:r>
          </w:p>
        </w:tc>
      </w:tr>
    </w:tbl>
    <w:p>
      <w:pPr>
        <w:ind w:firstLine="360" w:firstLineChars="200"/>
        <w:rPr>
          <w:sz w:val="18"/>
        </w:rPr>
      </w:pPr>
      <w:r>
        <w:rPr>
          <w:rFonts w:hint="eastAsia"/>
          <w:sz w:val="18"/>
        </w:rPr>
        <w:t>注：协议和合同就业包括签就业协议形式就业、签劳动合同形式就业、应征义务兵、科研助理、管理助理、国家基层项目、地方基层项目；</w:t>
      </w:r>
    </w:p>
    <w:p>
      <w:pPr>
        <w:ind w:firstLine="360" w:firstLineChars="200"/>
        <w:rPr>
          <w:sz w:val="18"/>
        </w:rPr>
      </w:pPr>
      <w:r>
        <w:rPr>
          <w:sz w:val="18"/>
        </w:rPr>
        <w:t>灵活就业包括其他录用形式就业</w:t>
      </w:r>
      <w:r>
        <w:rPr>
          <w:rFonts w:hint="eastAsia"/>
          <w:sz w:val="18"/>
        </w:rPr>
        <w:t>和自由职业；</w:t>
      </w:r>
    </w:p>
    <w:p>
      <w:pPr>
        <w:ind w:firstLine="360" w:firstLineChars="200"/>
        <w:rPr>
          <w:sz w:val="18"/>
        </w:rPr>
      </w:pPr>
      <w:r>
        <w:rPr>
          <w:sz w:val="18"/>
        </w:rPr>
        <w:t>升学</w:t>
      </w:r>
      <w:r>
        <w:rPr>
          <w:rFonts w:hint="eastAsia"/>
          <w:sz w:val="18"/>
        </w:rPr>
        <w:t>包括升学、出国、出境。</w:t>
      </w:r>
    </w:p>
    <w:p>
      <w:pPr>
        <w:pStyle w:val="3"/>
        <w:numPr>
          <w:ilvl w:val="0"/>
          <w:numId w:val="6"/>
        </w:numPr>
        <w:spacing w:before="156" w:after="156"/>
        <w:rPr>
          <w:sz w:val="24"/>
        </w:rPr>
      </w:pPr>
      <w:bookmarkStart w:id="30" w:name="_Toc91773161"/>
      <w:r>
        <w:rPr>
          <w:sz w:val="24"/>
        </w:rPr>
        <w:t>就业地域去向</w:t>
      </w:r>
      <w:r>
        <w:rPr>
          <w:rStyle w:val="18"/>
          <w:sz w:val="24"/>
        </w:rPr>
        <w:footnoteReference w:id="1"/>
      </w:r>
      <w:bookmarkEnd w:id="30"/>
    </w:p>
    <w:p>
      <w:pPr>
        <w:pStyle w:val="28"/>
        <w:ind w:firstLine="480"/>
      </w:pPr>
      <w:r>
        <w:t>留渝就业</w:t>
      </w:r>
      <w:r>
        <w:rPr>
          <w:rFonts w:hint="eastAsia"/>
        </w:rPr>
        <w:t>，</w:t>
      </w:r>
      <w:r>
        <w:t>服务地方经济发展</w:t>
      </w:r>
      <w:r>
        <w:rPr>
          <w:rFonts w:hint="eastAsia"/>
        </w:rPr>
        <w:t>，</w:t>
      </w:r>
      <w:r>
        <w:t>是学校毕业生就业的主要选择</w:t>
      </w:r>
      <w:r>
        <w:rPr>
          <w:rFonts w:hint="eastAsia"/>
        </w:rPr>
        <w:t>。2</w:t>
      </w:r>
      <w:r>
        <w:t>021届毕业生留渝就业比例为</w:t>
      </w:r>
      <w:r>
        <w:rPr>
          <w:rFonts w:hint="eastAsia"/>
        </w:rPr>
        <w:t>4</w:t>
      </w:r>
      <w:r>
        <w:t>7.60</w:t>
      </w:r>
      <w:r>
        <w:rPr>
          <w:rFonts w:hint="eastAsia"/>
        </w:rPr>
        <w:t>%，</w:t>
      </w:r>
      <w:r>
        <w:t>本科毕业生留渝就业比例为</w:t>
      </w:r>
      <w:r>
        <w:rPr>
          <w:rFonts w:hint="eastAsia"/>
        </w:rPr>
        <w:t>5</w:t>
      </w:r>
      <w:r>
        <w:t>4.13</w:t>
      </w:r>
      <w:r>
        <w:rPr>
          <w:rFonts w:hint="eastAsia"/>
        </w:rPr>
        <w:t>%，</w:t>
      </w:r>
      <w:r>
        <w:t>毕业研究生为</w:t>
      </w:r>
      <w:r>
        <w:rPr>
          <w:rFonts w:hint="eastAsia"/>
        </w:rPr>
        <w:t>2</w:t>
      </w:r>
      <w:r>
        <w:t>9.98</w:t>
      </w:r>
      <w:r>
        <w:rPr>
          <w:rFonts w:hint="eastAsia"/>
        </w:rPr>
        <w:t>%。</w:t>
      </w:r>
      <w:r>
        <w:t>除重庆市外</w:t>
      </w:r>
      <w:r>
        <w:rPr>
          <w:rFonts w:hint="eastAsia"/>
        </w:rPr>
        <w:t>，</w:t>
      </w:r>
      <w:r>
        <w:t>广东省</w:t>
      </w:r>
      <w:r>
        <w:rPr>
          <w:rFonts w:hint="eastAsia"/>
        </w:rPr>
        <w:t>、</w:t>
      </w:r>
      <w:r>
        <w:t>四川省</w:t>
      </w:r>
      <w:r>
        <w:rPr>
          <w:rFonts w:hint="eastAsia"/>
        </w:rPr>
        <w:t>、</w:t>
      </w:r>
      <w:r>
        <w:t>浙江省等是毕业生市外就业的主要选择</w:t>
      </w:r>
      <w:r>
        <w:rPr>
          <w:rFonts w:hint="eastAsia"/>
        </w:rPr>
        <w:t>。</w:t>
      </w:r>
    </w:p>
    <w:p>
      <w:pPr>
        <w:pStyle w:val="25"/>
      </w:pPr>
      <w:bookmarkStart w:id="31" w:name="_Toc91773252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就业地区分布</w:t>
      </w:r>
      <w:bookmarkEnd w:id="31"/>
    </w:p>
    <w:tbl>
      <w:tblPr>
        <w:tblStyle w:val="26"/>
        <w:tblW w:w="5000" w:type="pct"/>
        <w:jc w:val="center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08"/>
        <w:gridCol w:w="1638"/>
        <w:gridCol w:w="1638"/>
        <w:gridCol w:w="1638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117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就业地区</w:t>
            </w:r>
          </w:p>
        </w:tc>
        <w:tc>
          <w:tcPr>
            <w:tcW w:w="961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本科生</w:t>
            </w:r>
          </w:p>
        </w:tc>
        <w:tc>
          <w:tcPr>
            <w:tcW w:w="961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研究生</w:t>
            </w:r>
          </w:p>
        </w:tc>
        <w:tc>
          <w:tcPr>
            <w:tcW w:w="961" w:type="pct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总体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重庆市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54.13%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29.98%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47.60%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广东省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16.12%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10.42%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14.58%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四川省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5.62%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25.78%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11.07%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浙江省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5.15%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3.47%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4.70%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北京市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4.34%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3.11%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4.00%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江苏省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2.85%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4.39%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3.26%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上海市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2.64%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3.47%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2.87%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山东省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1.22%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2.74%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1.63%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湖南省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0.88%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2.01%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1.19%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河南省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0.54%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2.93%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1.19%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贵州省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1.02%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1.10%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1.04%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湖北省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0.68%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1.28%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0.84%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云南省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0.61%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1.10%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0.74%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甘肃省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0.47%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1.10%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0.64%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福建省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0.61%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0.55%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安徽省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1.65%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陕西省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0.41%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0.91%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广西壮族自治区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0.34%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1.10%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江西省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1.46%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0.49%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西藏自治区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0.47%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河北省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0.27%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0.55%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天津市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0.41%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海南省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0.27%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0.37%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辽宁省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0.20%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青海省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吉林省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新疆维吾尔自治区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0.07%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0.18%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山西省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0.37%</w:t>
            </w:r>
          </w:p>
        </w:tc>
        <w:tc>
          <w:tcPr>
            <w:tcW w:w="9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17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黑龙江省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0.07%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0.05%</w:t>
            </w:r>
          </w:p>
        </w:tc>
      </w:tr>
    </w:tbl>
    <w:p>
      <w:pPr>
        <w:pStyle w:val="3"/>
        <w:numPr>
          <w:ilvl w:val="0"/>
          <w:numId w:val="6"/>
        </w:numPr>
        <w:spacing w:before="156" w:after="156"/>
        <w:rPr>
          <w:sz w:val="24"/>
        </w:rPr>
      </w:pPr>
      <w:bookmarkStart w:id="32" w:name="_Toc91773162"/>
      <w:r>
        <w:rPr>
          <w:sz w:val="24"/>
        </w:rPr>
        <w:t>就业单位性质</w:t>
      </w:r>
      <w:r>
        <w:rPr>
          <w:rStyle w:val="18"/>
          <w:sz w:val="24"/>
        </w:rPr>
        <w:footnoteReference w:id="2"/>
      </w:r>
      <w:bookmarkEnd w:id="32"/>
    </w:p>
    <w:p>
      <w:pPr>
        <w:pStyle w:val="28"/>
        <w:ind w:firstLine="480"/>
      </w:pPr>
      <w:r>
        <w:rPr>
          <w:rFonts w:hint="eastAsia"/>
        </w:rPr>
        <w:t>2</w:t>
      </w:r>
      <w:r>
        <w:t>021届毕业生就业单位性质分布以</w:t>
      </w:r>
      <w:r>
        <w:rPr>
          <w:rFonts w:hint="eastAsia"/>
        </w:rPr>
        <w:t>其他</w:t>
      </w:r>
      <w:r>
        <w:t>企业为主</w:t>
      </w:r>
      <w:r>
        <w:rPr>
          <w:rFonts w:hint="eastAsia"/>
        </w:rPr>
        <w:t>，</w:t>
      </w:r>
      <w:r>
        <w:t>占比为</w:t>
      </w:r>
      <w:r>
        <w:rPr>
          <w:rFonts w:hint="eastAsia"/>
        </w:rPr>
        <w:t>6</w:t>
      </w:r>
      <w:r>
        <w:t>9.28</w:t>
      </w:r>
      <w:r>
        <w:rPr>
          <w:rFonts w:hint="eastAsia"/>
        </w:rPr>
        <w:t>%，</w:t>
      </w:r>
      <w:r>
        <w:t>其次为中初教育单位</w:t>
      </w:r>
      <w:r>
        <w:rPr>
          <w:rFonts w:hint="eastAsia"/>
        </w:rPr>
        <w:t>，</w:t>
      </w:r>
      <w:r>
        <w:t>占比为</w:t>
      </w:r>
      <w:r>
        <w:rPr>
          <w:rFonts w:hint="eastAsia"/>
        </w:rPr>
        <w:t>1</w:t>
      </w:r>
      <w:r>
        <w:t>0.75</w:t>
      </w:r>
      <w:r>
        <w:rPr>
          <w:rFonts w:hint="eastAsia"/>
        </w:rPr>
        <w:t>%。</w:t>
      </w:r>
      <w:r>
        <w:t>本科毕业生就业单位性质分布中</w:t>
      </w:r>
      <w:r>
        <w:rPr>
          <w:rFonts w:hint="eastAsia"/>
        </w:rPr>
        <w:t>，其他</w:t>
      </w:r>
      <w:r>
        <w:t>企业占比为</w:t>
      </w:r>
      <w:r>
        <w:rPr>
          <w:rFonts w:hint="eastAsia"/>
        </w:rPr>
        <w:t>8</w:t>
      </w:r>
      <w:r>
        <w:t>0.64</w:t>
      </w:r>
      <w:r>
        <w:rPr>
          <w:rFonts w:hint="eastAsia"/>
        </w:rPr>
        <w:t>%，</w:t>
      </w:r>
      <w:r>
        <w:t>其次为国有企业</w:t>
      </w:r>
      <w:r>
        <w:rPr>
          <w:rFonts w:hint="eastAsia"/>
        </w:rPr>
        <w:t>，</w:t>
      </w:r>
      <w:r>
        <w:t>占比为</w:t>
      </w:r>
      <w:r>
        <w:rPr>
          <w:rFonts w:hint="eastAsia"/>
        </w:rPr>
        <w:t>6</w:t>
      </w:r>
      <w:r>
        <w:t>.16</w:t>
      </w:r>
      <w:r>
        <w:rPr>
          <w:rFonts w:hint="eastAsia"/>
        </w:rPr>
        <w:t>%；</w:t>
      </w:r>
      <w:r>
        <w:t>毕业研究生中</w:t>
      </w:r>
      <w:r>
        <w:rPr>
          <w:rFonts w:hint="eastAsia"/>
        </w:rPr>
        <w:t>其他</w:t>
      </w:r>
      <w:r>
        <w:t>企业占比为</w:t>
      </w:r>
      <w:r>
        <w:rPr>
          <w:rFonts w:hint="eastAsia"/>
        </w:rPr>
        <w:t>3</w:t>
      </w:r>
      <w:r>
        <w:t>8.84</w:t>
      </w:r>
      <w:r>
        <w:rPr>
          <w:rFonts w:hint="eastAsia"/>
        </w:rPr>
        <w:t>%，</w:t>
      </w:r>
      <w:r>
        <w:t>其次为中初教育单位</w:t>
      </w:r>
      <w:r>
        <w:rPr>
          <w:rFonts w:hint="eastAsia"/>
        </w:rPr>
        <w:t>，</w:t>
      </w:r>
      <w:r>
        <w:t>占比为</w:t>
      </w:r>
      <w:r>
        <w:rPr>
          <w:rFonts w:hint="eastAsia"/>
        </w:rPr>
        <w:t>2</w:t>
      </w:r>
      <w:r>
        <w:t>8.31</w:t>
      </w:r>
      <w:r>
        <w:rPr>
          <w:rFonts w:hint="eastAsia"/>
        </w:rPr>
        <w:t>%。</w:t>
      </w:r>
    </w:p>
    <w:p>
      <w:pPr>
        <w:pStyle w:val="25"/>
      </w:pPr>
      <w:bookmarkStart w:id="33" w:name="_Toc91773253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就业单位性质分布</w:t>
      </w:r>
      <w:bookmarkEnd w:id="33"/>
    </w:p>
    <w:tbl>
      <w:tblPr>
        <w:tblStyle w:val="26"/>
        <w:tblW w:w="5000" w:type="pct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9"/>
        <w:gridCol w:w="1808"/>
        <w:gridCol w:w="1808"/>
        <w:gridCol w:w="1807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1818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就业单位性质</w:t>
            </w:r>
          </w:p>
        </w:tc>
        <w:tc>
          <w:tcPr>
            <w:tcW w:w="1061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本科</w:t>
            </w:r>
          </w:p>
        </w:tc>
        <w:tc>
          <w:tcPr>
            <w:tcW w:w="1061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研究生</w:t>
            </w:r>
          </w:p>
        </w:tc>
        <w:tc>
          <w:tcPr>
            <w:tcW w:w="1061" w:type="pct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总体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其他</w:t>
            </w: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企业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80.64%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38.84%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69.28%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中初教育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4.20%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28.31%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10.75%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高等教育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0.34%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19.60%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5.57%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国有企业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6.16%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3.63%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5.47%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三资企业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5.69%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3.27%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5.03%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机关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1.76%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2.00%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1.82%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其他事业单位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0.81%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4.36%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1.78%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科研设计单位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0.14%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0.10%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部队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0.07%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农村建制村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0.07%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城镇社区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0.07%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61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18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医疗卫生单位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0.07%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1061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0.05%</w:t>
            </w:r>
          </w:p>
        </w:tc>
      </w:tr>
    </w:tbl>
    <w:p>
      <w:pPr>
        <w:pStyle w:val="3"/>
        <w:numPr>
          <w:ilvl w:val="0"/>
          <w:numId w:val="6"/>
        </w:numPr>
        <w:spacing w:before="156" w:after="156"/>
        <w:rPr>
          <w:sz w:val="24"/>
        </w:rPr>
      </w:pPr>
      <w:bookmarkStart w:id="34" w:name="_Toc91773163"/>
      <w:r>
        <w:rPr>
          <w:sz w:val="24"/>
        </w:rPr>
        <w:t>就业行业</w:t>
      </w:r>
      <w:r>
        <w:rPr>
          <w:rStyle w:val="18"/>
          <w:sz w:val="24"/>
        </w:rPr>
        <w:footnoteReference w:id="3"/>
      </w:r>
      <w:bookmarkEnd w:id="34"/>
    </w:p>
    <w:p>
      <w:pPr>
        <w:pStyle w:val="28"/>
        <w:ind w:firstLine="480"/>
      </w:pPr>
      <w:r>
        <w:rPr>
          <w:rFonts w:hint="eastAsia"/>
        </w:rPr>
        <w:t>2</w:t>
      </w:r>
      <w:r>
        <w:t>021届毕业生就业</w:t>
      </w:r>
      <w:r>
        <w:rPr>
          <w:rFonts w:hint="eastAsia"/>
        </w:rPr>
        <w:t>行业</w:t>
      </w:r>
      <w:r>
        <w:t>分布以</w:t>
      </w:r>
      <w:r>
        <w:rPr>
          <w:rFonts w:hint="eastAsia"/>
        </w:rPr>
        <w:t>教育行业</w:t>
      </w:r>
      <w:r>
        <w:t>为主，占比为30.97%，其次为</w:t>
      </w:r>
      <w:r>
        <w:rPr>
          <w:rFonts w:hint="eastAsia"/>
        </w:rPr>
        <w:t>信息传输、</w:t>
      </w:r>
      <w:r>
        <w:t>软件和信息技术服务业，占比为</w:t>
      </w:r>
      <w:r>
        <w:rPr>
          <w:rFonts w:hint="eastAsia"/>
        </w:rPr>
        <w:t>1</w:t>
      </w:r>
      <w:r>
        <w:t>4.74%。本科毕业生就业行业分布中，</w:t>
      </w:r>
      <w:r>
        <w:rPr>
          <w:rFonts w:hint="eastAsia"/>
        </w:rPr>
        <w:t>教育行业</w:t>
      </w:r>
      <w:r>
        <w:t>占比为21.53%，其次为</w:t>
      </w:r>
      <w:r>
        <w:rPr>
          <w:rFonts w:hint="eastAsia"/>
        </w:rPr>
        <w:t>信息传输、</w:t>
      </w:r>
      <w:r>
        <w:t>软件和信息技术服务业，占比为15.78%；毕业研究生中</w:t>
      </w:r>
      <w:r>
        <w:rPr>
          <w:rFonts w:hint="eastAsia"/>
        </w:rPr>
        <w:t>教育行业</w:t>
      </w:r>
      <w:r>
        <w:t>占比为56.26%，其次为</w:t>
      </w:r>
      <w:r>
        <w:rPr>
          <w:rFonts w:hint="eastAsia"/>
        </w:rPr>
        <w:t>信息传输、</w:t>
      </w:r>
      <w:r>
        <w:t>软件和信息技术服务业，占比为11.98%。</w:t>
      </w:r>
    </w:p>
    <w:p>
      <w:pPr>
        <w:pStyle w:val="25"/>
        <w:ind w:left="420"/>
      </w:pPr>
      <w:bookmarkStart w:id="35" w:name="_Toc91773254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就业行业分布</w:t>
      </w:r>
      <w:bookmarkEnd w:id="35"/>
    </w:p>
    <w:tbl>
      <w:tblPr>
        <w:tblStyle w:val="26"/>
        <w:tblW w:w="5000" w:type="pct"/>
        <w:tblInd w:w="0" w:type="dxa"/>
        <w:tbl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single" w:color="FFFFFF" w:themeColor="background1" w:sz="4" w:space="0"/>
          <w:insideV w:val="single" w:color="FFFFFF" w:themeColor="background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0"/>
        <w:gridCol w:w="1191"/>
        <w:gridCol w:w="1191"/>
        <w:gridCol w:w="1190"/>
      </w:tblGrid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904" w:type="pct"/>
            <w:tcBorders>
              <w:top w:val="single" w:color="FFFFFF" w:themeColor="background1" w:sz="4" w:space="0"/>
              <w:left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就业行业</w:t>
            </w:r>
          </w:p>
        </w:tc>
        <w:tc>
          <w:tcPr>
            <w:tcW w:w="699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本科</w:t>
            </w:r>
          </w:p>
        </w:tc>
        <w:tc>
          <w:tcPr>
            <w:tcW w:w="699" w:type="pct"/>
            <w:tcBorders>
              <w:top w:val="single" w:color="FFFFFF" w:themeColor="background1" w:sz="4" w:space="0"/>
              <w:right w:val="nil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研究生</w:t>
            </w:r>
          </w:p>
        </w:tc>
        <w:tc>
          <w:tcPr>
            <w:tcW w:w="699" w:type="pct"/>
            <w:tcBorders>
              <w:top w:val="single" w:color="FFFFFF" w:themeColor="background1" w:sz="4" w:space="0"/>
              <w:right w:val="single" w:color="FFFFFF" w:themeColor="background1" w:sz="4" w:space="0"/>
              <w:insideV w:val="nil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总体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教育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21.53%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56.26%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30.97%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信息传输、软件和信息技术服务业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15.78%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11.98%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14.74%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批发和零售业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15.64%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4.90%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12.72%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制造业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10.90%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5.44%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9.42%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租赁和商务服务业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7.79%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4.72%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6.95%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文化、体育和娱乐业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5.82%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2.00%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4.78%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金融业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3.25%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1.81%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2.86%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公共管理、社会保障和社会组织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2.17%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4.17%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2.71%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居民服务、修理和其他服务业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2.91%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1.09%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2.42%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科学研究和技术服务业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2.17%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3.09%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2.42%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建筑业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2.78%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1.09%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2.32%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交通运输、仓储和邮政业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2.37%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1.27%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2.07%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房地产业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2.51%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0.36%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1.92%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卫生和社会工作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0.95%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1.09%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0.99%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住宿和餐饮业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0.88%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0.64%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农、林、牧、渔业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0.88%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0.64%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0.74%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0.54%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采矿业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0.54%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0.36%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0.49%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水利、环境和公共设施管理业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0.34%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0.36%</w:t>
            </w:r>
          </w:p>
        </w:tc>
        <w:tc>
          <w:tcPr>
            <w:tcW w:w="699" w:type="pct"/>
            <w:shd w:val="clear" w:color="auto" w:fill="B4C6E7" w:themeFill="accent5" w:themeFillTint="66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0.35%</w:t>
            </w:r>
          </w:p>
        </w:tc>
      </w:tr>
      <w:tr>
        <w:tblPrEx>
          <w:tblBorders>
            <w:top w:val="single" w:color="FFFFFF" w:themeColor="background1" w:sz="4" w:space="0"/>
            <w:left w:val="single" w:color="FFFFFF" w:themeColor="background1" w:sz="4" w:space="0"/>
            <w:bottom w:val="single" w:color="FFFFFF" w:themeColor="background1" w:sz="4" w:space="0"/>
            <w:right w:val="single" w:color="FFFFFF" w:themeColor="background1" w:sz="4" w:space="0"/>
            <w:insideH w:val="single" w:color="FFFFFF" w:themeColor="background1" w:sz="4" w:space="0"/>
            <w:insideV w:val="single" w:color="FFFFFF" w:themeColor="background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04" w:type="pct"/>
            <w:tcBorders>
              <w:left w:val="single" w:color="FFFFFF" w:themeColor="background1" w:sz="4" w:space="0"/>
              <w:bottom w:val="single" w:color="FFFFFF" w:themeColor="background1" w:sz="4" w:space="0"/>
            </w:tcBorders>
            <w:shd w:val="clear" w:color="auto" w:fill="4472C4" w:themeFill="accent5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b w:val="0"/>
                <w:bCs w:val="0"/>
                <w:color w:val="FFFFFF" w:themeColor="background1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b/>
                <w:bCs/>
                <w:color w:val="FFFFFF" w:themeColor="background1"/>
                <w:kern w:val="0"/>
                <w:szCs w:val="21"/>
              </w:rPr>
              <w:t>军队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0.07%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-</w:t>
            </w:r>
          </w:p>
        </w:tc>
        <w:tc>
          <w:tcPr>
            <w:tcW w:w="699" w:type="pct"/>
            <w:shd w:val="clear" w:color="auto" w:fill="D9E2F3" w:themeFill="accent5" w:themeFillTint="33"/>
            <w:noWrap/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Calibri" w:hAnsi="Calibri" w:eastAsia="宋体" w:cs="Times New Roman"/>
                <w:color w:val="000000"/>
                <w:kern w:val="0"/>
                <w:szCs w:val="21"/>
              </w:rPr>
              <w:t>0.05%</w:t>
            </w:r>
          </w:p>
        </w:tc>
      </w:tr>
    </w:tbl>
    <w:p>
      <w:pPr>
        <w:pStyle w:val="3"/>
        <w:numPr>
          <w:ilvl w:val="0"/>
          <w:numId w:val="6"/>
        </w:numPr>
        <w:spacing w:before="156" w:after="156"/>
        <w:rPr>
          <w:sz w:val="24"/>
        </w:rPr>
      </w:pPr>
      <w:bookmarkStart w:id="36" w:name="_Toc91773164"/>
      <w:r>
        <w:rPr>
          <w:sz w:val="24"/>
        </w:rPr>
        <w:t>国内升学</w:t>
      </w:r>
      <w:bookmarkEnd w:id="36"/>
    </w:p>
    <w:p>
      <w:pPr>
        <w:pStyle w:val="28"/>
        <w:ind w:firstLine="480"/>
      </w:pPr>
      <w:r>
        <w:rPr>
          <w:rFonts w:hint="eastAsia"/>
        </w:rPr>
        <w:t>近三年学校毕业生国内升学比例持续上升，2</w:t>
      </w:r>
      <w:r>
        <w:t>021届本科毕业生国内升学率</w:t>
      </w:r>
      <w:r>
        <w:rPr>
          <w:rStyle w:val="18"/>
        </w:rPr>
        <w:footnoteReference w:id="4"/>
      </w:r>
      <w:r>
        <w:t>再创新高，达到</w:t>
      </w:r>
      <w:r>
        <w:rPr>
          <w:rFonts w:hint="eastAsia"/>
        </w:rPr>
        <w:t>1</w:t>
      </w:r>
      <w:r>
        <w:t>4.79%，毕业生升学意愿</w:t>
      </w:r>
      <w:r>
        <w:rPr>
          <w:rFonts w:hint="eastAsia"/>
        </w:rPr>
        <w:t>显著</w:t>
      </w:r>
      <w:r>
        <w:t>增强。本科毕业生国内主要升学院校</w:t>
      </w:r>
      <w:r>
        <w:rPr>
          <w:rFonts w:hint="eastAsia"/>
        </w:rPr>
        <w:t>包括北京大学、上海交通大学、浙江大学、华中科技大学、南京大学、北京外国语大学、上海外国语大学、四川外国语大学等多所重点高校。</w:t>
      </w:r>
    </w:p>
    <w:p>
      <w:pPr>
        <w:pStyle w:val="28"/>
        <w:ind w:firstLine="0" w:firstLineChars="0"/>
      </w:pPr>
      <w:r>
        <w:rPr>
          <w:color w:val="000000" w:themeColor="text1"/>
        </w:rPr>
        <w:drawing>
          <wp:inline distT="0" distB="0" distL="0" distR="0">
            <wp:extent cx="5274310" cy="2581275"/>
            <wp:effectExtent l="0" t="0" r="0" b="0"/>
            <wp:docPr id="34" name="图表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>
      <w:pPr>
        <w:pStyle w:val="25"/>
      </w:pPr>
      <w:bookmarkStart w:id="37" w:name="_Toc91773255"/>
      <w:r>
        <w:rPr>
          <w:rFonts w:hint="eastAsia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t xml:space="preserve"> 2019-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国内升学</w:t>
      </w:r>
      <w:r>
        <w:t>率（本科）</w:t>
      </w:r>
      <w:bookmarkEnd w:id="37"/>
    </w:p>
    <w:p>
      <w:pPr>
        <w:pStyle w:val="25"/>
        <w:spacing w:before="156" w:beforeLines="50"/>
      </w:pPr>
      <w:bookmarkStart w:id="38" w:name="_Toc91773256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8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届毕业生国内主要升学</w:t>
      </w:r>
      <w:r>
        <w:rPr>
          <w:rFonts w:hint="eastAsia"/>
        </w:rPr>
        <w:t>院校（本科）</w:t>
      </w:r>
      <w:bookmarkEnd w:id="38"/>
    </w:p>
    <w:tbl>
      <w:tblPr>
        <w:tblStyle w:val="29"/>
        <w:tblW w:w="5000" w:type="pct"/>
        <w:tblInd w:w="0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3"/>
        <w:gridCol w:w="2335"/>
        <w:gridCol w:w="3094"/>
      </w:tblGrid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1815" w:type="pct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 w:val="0"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FFFFFF" w:themeColor="background1"/>
                <w:kern w:val="0"/>
                <w:szCs w:val="21"/>
              </w:rPr>
              <w:t>学校名称</w:t>
            </w:r>
          </w:p>
        </w:tc>
        <w:tc>
          <w:tcPr>
            <w:tcW w:w="1370" w:type="pct"/>
            <w:tcBorders>
              <w:top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FFFFFF" w:themeColor="background1"/>
                <w:kern w:val="0"/>
                <w:szCs w:val="21"/>
              </w:rPr>
              <w:t>学校名称</w:t>
            </w:r>
          </w:p>
        </w:tc>
        <w:tc>
          <w:tcPr>
            <w:tcW w:w="1815" w:type="pct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/>
                <w:color w:val="FFFFFF" w:themeColor="background1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/>
                <w:bCs w:val="0"/>
                <w:color w:val="FFFFFF" w:themeColor="background1"/>
                <w:kern w:val="0"/>
                <w:szCs w:val="21"/>
              </w:rPr>
              <w:t>学校名称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北京大学</w:t>
            </w:r>
          </w:p>
        </w:tc>
        <w:tc>
          <w:tcPr>
            <w:tcW w:w="1370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北京航空航天大学</w:t>
            </w:r>
          </w:p>
        </w:tc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华东理工大学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上海交通大学</w:t>
            </w:r>
          </w:p>
        </w:tc>
        <w:tc>
          <w:tcPr>
            <w:tcW w:w="1370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厦门大学</w:t>
            </w:r>
          </w:p>
        </w:tc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北京交通大学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浙江大学</w:t>
            </w:r>
          </w:p>
        </w:tc>
        <w:tc>
          <w:tcPr>
            <w:tcW w:w="1370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同济大学</w:t>
            </w:r>
          </w:p>
        </w:tc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南京师范大学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华中科技大学</w:t>
            </w:r>
          </w:p>
        </w:tc>
        <w:tc>
          <w:tcPr>
            <w:tcW w:w="1370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东南大学</w:t>
            </w:r>
          </w:p>
        </w:tc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苏州大学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南京大学</w:t>
            </w:r>
          </w:p>
        </w:tc>
        <w:tc>
          <w:tcPr>
            <w:tcW w:w="1370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华东师范大学</w:t>
            </w:r>
          </w:p>
        </w:tc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中国海洋大学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复旦大学</w:t>
            </w:r>
          </w:p>
        </w:tc>
        <w:tc>
          <w:tcPr>
            <w:tcW w:w="1370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大连理工大学</w:t>
            </w:r>
          </w:p>
        </w:tc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南京航空航天大学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中国科学技术大学</w:t>
            </w:r>
          </w:p>
        </w:tc>
        <w:tc>
          <w:tcPr>
            <w:tcW w:w="1370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北京理工大学</w:t>
            </w:r>
          </w:p>
        </w:tc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西南交通大学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吉林大学</w:t>
            </w:r>
          </w:p>
        </w:tc>
        <w:tc>
          <w:tcPr>
            <w:tcW w:w="1370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华南理工大学</w:t>
            </w:r>
          </w:p>
        </w:tc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中南财经政法大学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北京师范大学</w:t>
            </w:r>
          </w:p>
        </w:tc>
        <w:tc>
          <w:tcPr>
            <w:tcW w:w="1370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中南大学</w:t>
            </w:r>
          </w:p>
        </w:tc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北京邮电大学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天津大学</w:t>
            </w:r>
          </w:p>
        </w:tc>
        <w:tc>
          <w:tcPr>
            <w:tcW w:w="1370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湖南大学</w:t>
            </w:r>
          </w:p>
        </w:tc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暨南大学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武汉大学</w:t>
            </w:r>
          </w:p>
        </w:tc>
        <w:tc>
          <w:tcPr>
            <w:tcW w:w="1370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北京科技大学</w:t>
            </w:r>
          </w:p>
        </w:tc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湖南师范大学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中国人民大学</w:t>
            </w:r>
          </w:p>
        </w:tc>
        <w:tc>
          <w:tcPr>
            <w:tcW w:w="1370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电子科技大学</w:t>
            </w:r>
          </w:p>
        </w:tc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郑州大学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南开大学</w:t>
            </w:r>
          </w:p>
        </w:tc>
        <w:tc>
          <w:tcPr>
            <w:tcW w:w="1370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重庆大学</w:t>
            </w:r>
          </w:p>
        </w:tc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北京外国语大学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四川大学</w:t>
            </w:r>
          </w:p>
        </w:tc>
        <w:tc>
          <w:tcPr>
            <w:tcW w:w="1370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西南大学</w:t>
            </w:r>
          </w:p>
        </w:tc>
        <w:tc>
          <w:tcPr>
            <w:tcW w:w="1815" w:type="pct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上海外国语大学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 w:val="0"/>
                <w:bCs/>
                <w:color w:val="000000"/>
                <w:kern w:val="0"/>
                <w:szCs w:val="21"/>
              </w:rPr>
              <w:t>山东大学</w:t>
            </w:r>
          </w:p>
        </w:tc>
        <w:tc>
          <w:tcPr>
            <w:tcW w:w="1370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华中师范大学</w:t>
            </w:r>
          </w:p>
        </w:tc>
        <w:tc>
          <w:tcPr>
            <w:tcW w:w="1815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color w:val="000000"/>
                <w:kern w:val="0"/>
                <w:szCs w:val="21"/>
              </w:rPr>
              <w:t>四川外国语大学</w:t>
            </w:r>
          </w:p>
        </w:tc>
      </w:tr>
    </w:tbl>
    <w:p>
      <w:pPr>
        <w:spacing w:line="276" w:lineRule="auto"/>
        <w:ind w:firstLine="360" w:firstLineChars="200"/>
        <w:rPr>
          <w:sz w:val="18"/>
          <w:szCs w:val="18"/>
          <w:lang w:val="en-SG"/>
        </w:rPr>
      </w:pPr>
      <w:r>
        <w:rPr>
          <w:rFonts w:hint="eastAsia"/>
          <w:sz w:val="18"/>
          <w:szCs w:val="18"/>
          <w:lang w:val="en-SG"/>
        </w:rPr>
        <w:t>注：表格中仅呈现部分院校的名单。</w:t>
      </w:r>
    </w:p>
    <w:p>
      <w:pPr>
        <w:pStyle w:val="3"/>
        <w:numPr>
          <w:ilvl w:val="0"/>
          <w:numId w:val="6"/>
        </w:numPr>
        <w:spacing w:before="156" w:after="156"/>
        <w:rPr>
          <w:sz w:val="24"/>
        </w:rPr>
      </w:pPr>
      <w:bookmarkStart w:id="39" w:name="_Toc91773165"/>
      <w:r>
        <w:rPr>
          <w:sz w:val="24"/>
        </w:rPr>
        <w:t>出国出境</w:t>
      </w:r>
      <w:bookmarkEnd w:id="39"/>
    </w:p>
    <w:p>
      <w:pPr>
        <w:pStyle w:val="28"/>
        <w:ind w:firstLine="480"/>
      </w:pPr>
      <w:r>
        <w:rPr>
          <w:rFonts w:hint="eastAsia"/>
        </w:rPr>
        <w:t>在全球新冠肺炎疫情的大环境影响下</w:t>
      </w:r>
      <w:r>
        <w:t>，近两年本科毕业生出国（境）留学比例</w:t>
      </w:r>
      <w:r>
        <w:rPr>
          <w:rStyle w:val="18"/>
        </w:rPr>
        <w:footnoteReference w:id="5"/>
      </w:r>
      <w:r>
        <w:t>呈下降趋势，</w:t>
      </w:r>
      <w:r>
        <w:rPr>
          <w:rFonts w:hint="eastAsia"/>
        </w:rPr>
        <w:t>2</w:t>
      </w:r>
      <w:r>
        <w:t>021届本科毕业生出国（境）留学比例为</w:t>
      </w:r>
      <w:r>
        <w:rPr>
          <w:rFonts w:hint="eastAsia"/>
        </w:rPr>
        <w:t>7</w:t>
      </w:r>
      <w:r>
        <w:t>.46%，较</w:t>
      </w:r>
      <w:r>
        <w:rPr>
          <w:rFonts w:hint="eastAsia"/>
        </w:rPr>
        <w:t>2</w:t>
      </w:r>
      <w:r>
        <w:t>020届下降了</w:t>
      </w:r>
      <w:r>
        <w:rPr>
          <w:rFonts w:hint="eastAsia"/>
        </w:rPr>
        <w:t>4</w:t>
      </w:r>
      <w:r>
        <w:t>.15个百分点。毕业生留学的目标国家或地区主要有美国、新加坡、</w:t>
      </w:r>
      <w:r>
        <w:rPr>
          <w:rFonts w:hint="eastAsia"/>
        </w:rPr>
        <w:t>英国、香港特别行政区、澳大利亚等；留学学校包括宾夕法尼亚大学、南洋理工大学、爱丁堡大学、香港大学、曼彻斯特大学、澳大利亚国立大学等多所知名高校。</w:t>
      </w:r>
    </w:p>
    <w:p>
      <w:pPr>
        <w:pStyle w:val="28"/>
        <w:ind w:firstLine="0" w:firstLineChars="0"/>
        <w:jc w:val="center"/>
      </w:pPr>
      <w:r>
        <w:rPr>
          <w:color w:val="000000" w:themeColor="text1"/>
        </w:rPr>
        <w:drawing>
          <wp:inline distT="0" distB="0" distL="0" distR="0">
            <wp:extent cx="5274310" cy="2524125"/>
            <wp:effectExtent l="0" t="0" r="0" b="0"/>
            <wp:docPr id="32" name="图表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pStyle w:val="25"/>
        <w:ind w:left="420"/>
      </w:pPr>
      <w:bookmarkStart w:id="40" w:name="_Toc91773257"/>
      <w:r>
        <w:rPr>
          <w:rFonts w:hint="eastAsia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2</w:t>
      </w:r>
      <w:r>
        <w:fldChar w:fldCharType="end"/>
      </w:r>
      <w:r>
        <w:t xml:space="preserve"> 2019- 2021届毕业生出国（境）留学比例（本科）</w:t>
      </w:r>
      <w:bookmarkEnd w:id="40"/>
    </w:p>
    <w:p>
      <w:pPr>
        <w:pStyle w:val="25"/>
        <w:spacing w:before="156" w:beforeLines="50"/>
      </w:pPr>
      <w:bookmarkStart w:id="41" w:name="_Toc91773258"/>
      <w:r>
        <w:rPr>
          <w:rFonts w:hint="eastAsia"/>
        </w:rPr>
        <w:t>表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表2- \* ARABIC</w:instrText>
      </w:r>
      <w:r>
        <w:instrText xml:space="preserve"> </w:instrText>
      </w:r>
      <w:r>
        <w:fldChar w:fldCharType="separate"/>
      </w:r>
      <w:r>
        <w:t>9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届毕业生出</w:t>
      </w:r>
      <w:r>
        <w:rPr>
          <w:rFonts w:hint="eastAsia"/>
        </w:rPr>
        <w:t>国（境）留学</w:t>
      </w:r>
      <w:r>
        <w:t>主要</w:t>
      </w:r>
      <w:r>
        <w:rPr>
          <w:rFonts w:hint="eastAsia"/>
        </w:rPr>
        <w:t>院校（本科）</w:t>
      </w:r>
      <w:bookmarkEnd w:id="41"/>
    </w:p>
    <w:tbl>
      <w:tblPr>
        <w:tblStyle w:val="29"/>
        <w:tblW w:w="5000" w:type="pct"/>
        <w:tblInd w:w="0" w:type="dxa"/>
        <w:tblBorders>
          <w:top w:val="single" w:color="8EAADB" w:themeColor="accent5" w:themeTint="99" w:sz="4" w:space="0"/>
          <w:left w:val="single" w:color="8EAADB" w:themeColor="accent5" w:themeTint="99" w:sz="4" w:space="0"/>
          <w:bottom w:val="single" w:color="8EAADB" w:themeColor="accent5" w:themeTint="99" w:sz="4" w:space="0"/>
          <w:right w:val="single" w:color="8EAADB" w:themeColor="accent5" w:themeTint="99" w:sz="4" w:space="0"/>
          <w:insideH w:val="single" w:color="8EAADB" w:themeColor="accent5" w:themeTint="99" w:sz="4" w:space="0"/>
          <w:insideV w:val="single" w:color="8EAADB" w:themeColor="accent5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4532"/>
      </w:tblGrid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41" w:type="pct"/>
            <w:tcBorders>
              <w:top w:val="single" w:color="4472C4" w:themeColor="accent5" w:sz="4" w:space="0"/>
              <w:left w:val="single" w:color="4472C4" w:themeColor="accent5" w:sz="4" w:space="0"/>
              <w:bottom w:val="single" w:color="4472C4" w:themeColor="accent5" w:sz="4" w:space="0"/>
              <w:right w:val="nil"/>
              <w:insideH w:val="single" w:sz="4" w:space="0"/>
              <w:insideV w:val="nil"/>
            </w:tcBorders>
            <w:shd w:val="clear" w:color="auto" w:fill="4472C4" w:themeFill="accent5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 w:val="0"/>
                <w:color w:val="FFFFFF" w:themeColor="background1"/>
                <w:kern w:val="0"/>
                <w:szCs w:val="21"/>
              </w:rPr>
              <w:t>学校名称</w:t>
            </w:r>
          </w:p>
        </w:tc>
        <w:tc>
          <w:tcPr>
            <w:tcW w:w="2659" w:type="pct"/>
            <w:tcBorders>
              <w:top w:val="single" w:color="4472C4" w:themeColor="accent5" w:sz="4" w:space="0"/>
              <w:bottom w:val="single" w:color="4472C4" w:themeColor="accent5" w:sz="4" w:space="0"/>
              <w:right w:val="single" w:color="4472C4" w:themeColor="accent5" w:sz="4" w:space="0"/>
              <w:insideH w:val="single" w:sz="4" w:space="0"/>
              <w:insideV w:val="nil"/>
            </w:tcBorders>
            <w:shd w:val="clear" w:color="auto" w:fill="4472C4" w:themeFill="accent5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 w:val="0"/>
                <w:color w:val="FFFFFF" w:themeColor="background1"/>
                <w:kern w:val="0"/>
                <w:szCs w:val="21"/>
              </w:rPr>
              <w:t>学校名称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南洋理工大学</w:t>
            </w:r>
          </w:p>
        </w:tc>
        <w:tc>
          <w:tcPr>
            <w:tcW w:w="2659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慕尼黑大学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宾夕法尼亚大学</w:t>
            </w:r>
          </w:p>
        </w:tc>
        <w:tc>
          <w:tcPr>
            <w:tcW w:w="2659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香港理工大学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爱丁堡大学</w:t>
            </w:r>
          </w:p>
        </w:tc>
        <w:tc>
          <w:tcPr>
            <w:tcW w:w="2659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苏黎世大学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香港大学</w:t>
            </w:r>
          </w:p>
        </w:tc>
        <w:tc>
          <w:tcPr>
            <w:tcW w:w="2659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格拉斯哥大学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曼彻斯特大学</w:t>
            </w:r>
          </w:p>
        </w:tc>
        <w:tc>
          <w:tcPr>
            <w:tcW w:w="2659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高丽大学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澳大利亚国立大学</w:t>
            </w:r>
          </w:p>
        </w:tc>
        <w:tc>
          <w:tcPr>
            <w:tcW w:w="2659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南安普敦大学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伦敦国王学院</w:t>
            </w:r>
          </w:p>
        </w:tc>
        <w:tc>
          <w:tcPr>
            <w:tcW w:w="2659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罗蒙诺索夫莫斯科国立大学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墨尔本大学</w:t>
            </w:r>
          </w:p>
        </w:tc>
        <w:tc>
          <w:tcPr>
            <w:tcW w:w="2659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杜伦大学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悉尼大学</w:t>
            </w:r>
          </w:p>
        </w:tc>
        <w:tc>
          <w:tcPr>
            <w:tcW w:w="2659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伯明翰大学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香港中文大学</w:t>
            </w:r>
          </w:p>
        </w:tc>
        <w:tc>
          <w:tcPr>
            <w:tcW w:w="2659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圣安德鲁斯大学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新南威尔士大学</w:t>
            </w:r>
          </w:p>
        </w:tc>
        <w:tc>
          <w:tcPr>
            <w:tcW w:w="2659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利兹大学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昆士兰大学</w:t>
            </w:r>
          </w:p>
        </w:tc>
        <w:tc>
          <w:tcPr>
            <w:tcW w:w="2659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谢菲尔德大学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香港城市大学</w:t>
            </w:r>
          </w:p>
        </w:tc>
        <w:tc>
          <w:tcPr>
            <w:tcW w:w="2659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成均馆大学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华威大学</w:t>
            </w:r>
          </w:p>
        </w:tc>
        <w:tc>
          <w:tcPr>
            <w:tcW w:w="2659" w:type="pct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海德堡大学</w:t>
            </w:r>
          </w:p>
        </w:tc>
      </w:tr>
      <w:tr>
        <w:tblPrEx>
          <w:tblBorders>
            <w:top w:val="single" w:color="8EAADB" w:themeColor="accent5" w:themeTint="99" w:sz="4" w:space="0"/>
            <w:left w:val="single" w:color="8EAADB" w:themeColor="accent5" w:themeTint="99" w:sz="4" w:space="0"/>
            <w:bottom w:val="single" w:color="8EAADB" w:themeColor="accent5" w:themeTint="99" w:sz="4" w:space="0"/>
            <w:right w:val="single" w:color="8EAADB" w:themeColor="accent5" w:themeTint="99" w:sz="4" w:space="0"/>
            <w:insideH w:val="single" w:color="8EAADB" w:themeColor="accent5" w:themeTint="99" w:sz="4" w:space="0"/>
            <w:insideV w:val="single" w:color="8EAADB" w:themeColor="accent5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341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/>
                <w:kern w:val="0"/>
                <w:szCs w:val="21"/>
              </w:rPr>
              <w:t>布里斯托大学</w:t>
            </w:r>
          </w:p>
        </w:tc>
        <w:tc>
          <w:tcPr>
            <w:tcW w:w="2659" w:type="pct"/>
            <w:shd w:val="clear" w:color="auto" w:fill="D9E2F3" w:themeFill="accent5" w:themeFillTint="33"/>
            <w:noWrap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伦敦经济政治学院</w:t>
            </w:r>
          </w:p>
        </w:tc>
      </w:tr>
    </w:tbl>
    <w:p>
      <w:pPr>
        <w:spacing w:line="276" w:lineRule="auto"/>
        <w:ind w:firstLine="360" w:firstLineChars="200"/>
        <w:rPr>
          <w:sz w:val="18"/>
          <w:szCs w:val="18"/>
          <w:lang w:val="en-SG"/>
        </w:rPr>
      </w:pPr>
      <w:r>
        <w:rPr>
          <w:rFonts w:hint="eastAsia"/>
          <w:sz w:val="18"/>
          <w:szCs w:val="18"/>
          <w:lang w:val="en-SG"/>
        </w:rPr>
        <w:t>注：表格中仅呈现部分院校的名单。</w:t>
      </w:r>
    </w:p>
    <w:p>
      <w:pPr>
        <w:pStyle w:val="3"/>
        <w:numPr>
          <w:ilvl w:val="0"/>
          <w:numId w:val="6"/>
        </w:numPr>
        <w:spacing w:before="156" w:after="156"/>
        <w:rPr>
          <w:sz w:val="24"/>
        </w:rPr>
      </w:pPr>
      <w:bookmarkStart w:id="42" w:name="_Toc91773166"/>
      <w:r>
        <w:rPr>
          <w:sz w:val="24"/>
        </w:rPr>
        <w:t>自主创业</w:t>
      </w:r>
      <w:bookmarkEnd w:id="42"/>
    </w:p>
    <w:p>
      <w:pPr>
        <w:pStyle w:val="28"/>
        <w:ind w:firstLine="480"/>
      </w:pPr>
      <w:r>
        <w:rPr>
          <w:rFonts w:hint="eastAsia"/>
        </w:rPr>
        <w:t>2</w:t>
      </w:r>
      <w:r>
        <w:t>020年</w:t>
      </w:r>
      <w:r>
        <w:rPr>
          <w:rFonts w:hint="eastAsia"/>
        </w:rPr>
        <w:t>疫情</w:t>
      </w:r>
      <w:r>
        <w:t>对市场经济和企业发展产生了较大冲击，尤其是小微企业、创业型企业均受到</w:t>
      </w:r>
      <w:r>
        <w:rPr>
          <w:rFonts w:hint="eastAsia"/>
        </w:rPr>
        <w:t>明显</w:t>
      </w:r>
      <w:r>
        <w:t>影响，创业难度和创业风险较大</w:t>
      </w:r>
      <w:r>
        <w:rPr>
          <w:rFonts w:hint="eastAsia"/>
        </w:rPr>
        <w:t>。</w:t>
      </w:r>
      <w:r>
        <w:t>因此，近三届本科毕业生自主创业比例</w:t>
      </w:r>
      <w:r>
        <w:rPr>
          <w:rStyle w:val="18"/>
        </w:rPr>
        <w:footnoteReference w:id="6"/>
      </w:r>
      <w:r>
        <w:t>呈下降趋势。</w:t>
      </w:r>
    </w:p>
    <w:p>
      <w:r>
        <w:rPr>
          <w:color w:val="000000" w:themeColor="text1"/>
        </w:rPr>
        <w:drawing>
          <wp:inline distT="0" distB="0" distL="0" distR="0">
            <wp:extent cx="5274310" cy="2505075"/>
            <wp:effectExtent l="0" t="0" r="0" b="0"/>
            <wp:docPr id="39" name="图表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>
      <w:pPr>
        <w:pStyle w:val="25"/>
      </w:pPr>
      <w:bookmarkStart w:id="43" w:name="_Toc91773259"/>
      <w:r>
        <w:rPr>
          <w:rFonts w:hint="eastAsia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3</w:t>
      </w:r>
      <w:r>
        <w:fldChar w:fldCharType="end"/>
      </w:r>
      <w:r>
        <w:t xml:space="preserve"> 2019-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自主创业比例（本科）</w:t>
      </w:r>
      <w:bookmarkEnd w:id="43"/>
    </w:p>
    <w:p>
      <w:pPr>
        <w:pStyle w:val="2"/>
        <w:numPr>
          <w:ilvl w:val="0"/>
          <w:numId w:val="3"/>
        </w:numPr>
      </w:pPr>
      <w:bookmarkStart w:id="44" w:name="_Toc91773167"/>
      <w:r>
        <w:t>社会贡献</w:t>
      </w:r>
      <w:bookmarkEnd w:id="44"/>
    </w:p>
    <w:p>
      <w:pPr>
        <w:pStyle w:val="3"/>
        <w:numPr>
          <w:ilvl w:val="0"/>
          <w:numId w:val="7"/>
        </w:numPr>
        <w:spacing w:before="156" w:after="156"/>
        <w:rPr>
          <w:sz w:val="24"/>
        </w:rPr>
      </w:pPr>
      <w:bookmarkStart w:id="45" w:name="_Toc91773168"/>
      <w:r>
        <w:rPr>
          <w:sz w:val="24"/>
        </w:rPr>
        <w:t>基层就业</w:t>
      </w:r>
      <w:bookmarkEnd w:id="45"/>
    </w:p>
    <w:p>
      <w:pPr>
        <w:pStyle w:val="28"/>
        <w:ind w:firstLine="480"/>
      </w:pPr>
      <w:r>
        <w:rPr>
          <w:rFonts w:hint="eastAsia"/>
        </w:rPr>
        <w:t>2</w:t>
      </w:r>
      <w:r>
        <w:t>021届毕业生中，有</w:t>
      </w:r>
      <w:r>
        <w:rPr>
          <w:rFonts w:hint="eastAsia"/>
        </w:rPr>
        <w:t>1</w:t>
      </w:r>
      <w:r>
        <w:t>20人参加基层项目，基层就业比例</w:t>
      </w:r>
      <w:r>
        <w:rPr>
          <w:rStyle w:val="18"/>
        </w:rPr>
        <w:footnoteReference w:id="7"/>
      </w:r>
      <w:r>
        <w:t>为2.91%</w:t>
      </w:r>
      <w:r>
        <w:rPr>
          <w:rFonts w:hint="eastAsia"/>
        </w:rPr>
        <w:t>。参加志愿服务西部计划的有1</w:t>
      </w:r>
      <w:r>
        <w:t>07人，占比为</w:t>
      </w:r>
      <w:r>
        <w:rPr>
          <w:rFonts w:hint="eastAsia"/>
        </w:rPr>
        <w:t>8</w:t>
      </w:r>
      <w:r>
        <w:t>9.17%；选调生</w:t>
      </w:r>
      <w:r>
        <w:rPr>
          <w:rFonts w:hint="eastAsia"/>
        </w:rPr>
        <w:t>1</w:t>
      </w:r>
      <w:r>
        <w:t>0人，占比为</w:t>
      </w:r>
      <w:r>
        <w:rPr>
          <w:rFonts w:hint="eastAsia"/>
        </w:rPr>
        <w:t>8</w:t>
      </w:r>
      <w:r>
        <w:t>.33%；参加三支一扶项目的有</w:t>
      </w:r>
      <w:r>
        <w:rPr>
          <w:rFonts w:hint="eastAsia"/>
        </w:rPr>
        <w:t>3人，占比为2</w:t>
      </w:r>
      <w:r>
        <w:t>.50%。近三年来毕业生到基层就业的热情持续</w:t>
      </w:r>
      <w:r>
        <w:rPr>
          <w:rFonts w:hint="eastAsia"/>
        </w:rPr>
        <w:t>上</w:t>
      </w:r>
      <w:r>
        <w:t>涨，</w:t>
      </w:r>
      <w:r>
        <w:rPr>
          <w:rFonts w:hint="eastAsia"/>
        </w:rPr>
        <w:t>2</w:t>
      </w:r>
      <w:r>
        <w:t>019-2021届本科毕业生到基层就业的比例显著提升，大学生的社会责任感</w:t>
      </w:r>
      <w:r>
        <w:rPr>
          <w:rFonts w:hint="eastAsia"/>
        </w:rPr>
        <w:t>、</w:t>
      </w:r>
      <w:r>
        <w:t>使命感</w:t>
      </w:r>
      <w:r>
        <w:rPr>
          <w:rFonts w:hint="eastAsia"/>
        </w:rPr>
        <w:t>持续</w:t>
      </w:r>
      <w:r>
        <w:t>增强。</w:t>
      </w:r>
    </w:p>
    <w:p>
      <w:pPr>
        <w:pStyle w:val="28"/>
        <w:ind w:firstLine="0" w:firstLineChars="0"/>
      </w:pPr>
      <w:r>
        <w:drawing>
          <wp:inline distT="0" distB="0" distL="0" distR="0">
            <wp:extent cx="4857750" cy="2705100"/>
            <wp:effectExtent l="0" t="0" r="0" b="0"/>
            <wp:docPr id="21" name="图表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>
      <w:pPr>
        <w:pStyle w:val="25"/>
      </w:pPr>
      <w:bookmarkStart w:id="46" w:name="_Toc91773260"/>
      <w:r>
        <w:rPr>
          <w:rFonts w:hint="eastAsia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4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参加各类基层项目比例</w:t>
      </w:r>
      <w:bookmarkEnd w:id="46"/>
    </w:p>
    <w:p>
      <w:pPr>
        <w:pStyle w:val="27"/>
        <w:jc w:val="left"/>
        <w:rPr>
          <w:b w:val="0"/>
          <w:lang w:val="en-SG"/>
        </w:rPr>
      </w:pPr>
      <w:r>
        <w:drawing>
          <wp:inline distT="0" distB="0" distL="0" distR="0">
            <wp:extent cx="5274310" cy="2533650"/>
            <wp:effectExtent l="0" t="0" r="0" b="0"/>
            <wp:docPr id="41" name="图表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>
      <w:pPr>
        <w:pStyle w:val="25"/>
      </w:pPr>
      <w:bookmarkStart w:id="47" w:name="_Toc91773261"/>
      <w:r>
        <w:rPr>
          <w:rFonts w:hint="eastAsia"/>
        </w:rPr>
        <w:t>图</w:t>
      </w:r>
      <w: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5</w:t>
      </w:r>
      <w:r>
        <w:fldChar w:fldCharType="end"/>
      </w:r>
      <w:r>
        <w:t xml:space="preserve"> 2019-2021届毕业生</w:t>
      </w:r>
      <w:r>
        <w:rPr>
          <w:rFonts w:hint="eastAsia"/>
        </w:rPr>
        <w:t>参加基层项目比例（本科）</w:t>
      </w:r>
      <w:bookmarkEnd w:id="47"/>
    </w:p>
    <w:p>
      <w:pPr>
        <w:pStyle w:val="3"/>
        <w:numPr>
          <w:ilvl w:val="0"/>
          <w:numId w:val="7"/>
        </w:numPr>
        <w:spacing w:before="156" w:after="156"/>
        <w:rPr>
          <w:sz w:val="24"/>
        </w:rPr>
      </w:pPr>
      <w:bookmarkStart w:id="48" w:name="_Toc91773169"/>
      <w:r>
        <w:rPr>
          <w:rFonts w:hint="eastAsia"/>
          <w:sz w:val="24"/>
        </w:rPr>
        <w:t>西部</w:t>
      </w:r>
      <w:r>
        <w:rPr>
          <w:sz w:val="24"/>
        </w:rPr>
        <w:t>就业</w:t>
      </w:r>
      <w:bookmarkEnd w:id="48"/>
    </w:p>
    <w:p>
      <w:pPr>
        <w:pStyle w:val="28"/>
        <w:ind w:firstLine="480"/>
      </w:pPr>
      <w:r>
        <w:rPr>
          <w:rFonts w:hint="eastAsia"/>
        </w:rPr>
        <w:t>2</w:t>
      </w:r>
      <w:r>
        <w:t>021届毕业生中，有</w:t>
      </w:r>
      <w:r>
        <w:rPr>
          <w:rFonts w:hint="eastAsia"/>
        </w:rPr>
        <w:t>1</w:t>
      </w:r>
      <w:r>
        <w:t>269人在西部就业</w:t>
      </w:r>
      <w:r>
        <w:rPr>
          <w:rStyle w:val="18"/>
        </w:rPr>
        <w:footnoteReference w:id="8"/>
      </w:r>
      <w:r>
        <w:t>，占比为</w:t>
      </w:r>
      <w:r>
        <w:rPr>
          <w:rFonts w:hint="eastAsia"/>
        </w:rPr>
        <w:t>6</w:t>
      </w:r>
      <w:r>
        <w:t>2.73%。本科毕业生在西部就业的比例为</w:t>
      </w:r>
      <w:r>
        <w:rPr>
          <w:rFonts w:hint="eastAsia"/>
        </w:rPr>
        <w:t>6</w:t>
      </w:r>
      <w:r>
        <w:t>3.28%，毕业</w:t>
      </w:r>
      <w:r>
        <w:rPr>
          <w:rFonts w:hint="eastAsia"/>
        </w:rPr>
        <w:t>研究生为6</w:t>
      </w:r>
      <w:r>
        <w:t>1.24%</w:t>
      </w:r>
      <w:r>
        <w:rPr>
          <w:rFonts w:hint="eastAsia"/>
        </w:rPr>
        <w:t>。参加志愿服务西部计划的毕业生中，本科毕业生有1</w:t>
      </w:r>
      <w:r>
        <w:t>02人</w:t>
      </w:r>
      <w:r>
        <w:rPr>
          <w:rFonts w:hint="eastAsia"/>
        </w:rPr>
        <w:t>，毕业</w:t>
      </w:r>
      <w:r>
        <w:t>研究生有</w:t>
      </w:r>
      <w:r>
        <w:rPr>
          <w:rFonts w:hint="eastAsia"/>
        </w:rPr>
        <w:t>5人。学校在引导毕业生响应国家号召、主动到西部建功立业、服务社会方面取得了良好成效。</w:t>
      </w:r>
    </w:p>
    <w:p>
      <w:r>
        <w:drawing>
          <wp:inline distT="0" distB="0" distL="0" distR="0">
            <wp:extent cx="5274310" cy="2705100"/>
            <wp:effectExtent l="0" t="0" r="0" b="0"/>
            <wp:docPr id="35" name="图表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>
      <w:pPr>
        <w:pStyle w:val="25"/>
      </w:pPr>
      <w:bookmarkStart w:id="49" w:name="_Toc91773262"/>
      <w:r>
        <w:rPr>
          <w:rFonts w:hint="eastAsia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6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西部就业比例</w:t>
      </w:r>
      <w:bookmarkEnd w:id="49"/>
    </w:p>
    <w:p>
      <w:pPr>
        <w:widowControl/>
        <w:jc w:val="left"/>
        <w:rPr>
          <w:rFonts w:eastAsia="黑体" w:asciiTheme="majorHAnsi" w:hAnsiTheme="majorHAnsi" w:cstheme="majorBidi"/>
          <w:b/>
          <w:sz w:val="20"/>
          <w:szCs w:val="20"/>
        </w:rPr>
      </w:pPr>
      <w:r>
        <w:br w:type="page"/>
      </w:r>
    </w:p>
    <w:p>
      <w:pPr>
        <w:pStyle w:val="3"/>
        <w:numPr>
          <w:ilvl w:val="0"/>
          <w:numId w:val="7"/>
        </w:numPr>
        <w:spacing w:before="156" w:after="156"/>
        <w:rPr>
          <w:sz w:val="24"/>
        </w:rPr>
      </w:pPr>
      <w:bookmarkStart w:id="50" w:name="_Toc91773170"/>
      <w:r>
        <w:rPr>
          <w:rFonts w:hint="eastAsia"/>
          <w:sz w:val="24"/>
        </w:rPr>
        <w:t>成渝双城经济圈就业情况</w:t>
      </w:r>
      <w:bookmarkEnd w:id="50"/>
    </w:p>
    <w:p>
      <w:pPr>
        <w:pStyle w:val="28"/>
        <w:ind w:firstLine="480"/>
      </w:pPr>
      <w:r>
        <w:t>2021届</w:t>
      </w:r>
      <w:r>
        <w:rPr>
          <w:rFonts w:hint="eastAsia"/>
        </w:rPr>
        <w:t>毕业生在成渝双城经济圈</w:t>
      </w:r>
      <w:r>
        <w:rPr>
          <w:rStyle w:val="18"/>
        </w:rPr>
        <w:footnoteReference w:id="9"/>
      </w:r>
      <w:r>
        <w:rPr>
          <w:rFonts w:hint="eastAsia"/>
        </w:rPr>
        <w:t>就业比例为</w:t>
      </w:r>
      <w:r>
        <w:t>57.30</w:t>
      </w:r>
      <w:r>
        <w:rPr>
          <w:rFonts w:hint="eastAsia"/>
        </w:rPr>
        <w:t>%，在大重庆范围就业的占比为</w:t>
      </w:r>
      <w:r>
        <w:t>46.25</w:t>
      </w:r>
      <w:r>
        <w:rPr>
          <w:rFonts w:hint="eastAsia"/>
        </w:rPr>
        <w:t>%；在成都及其周边城市就业的占比为</w:t>
      </w:r>
      <w:r>
        <w:t>11.05</w:t>
      </w:r>
      <w:r>
        <w:rPr>
          <w:rFonts w:hint="eastAsia"/>
        </w:rPr>
        <w:t>%。本科毕业生在成渝双城经济圈就业的比例为</w:t>
      </w:r>
      <w:r>
        <w:t>58.56%，毕业研究生的比例为53.90%。</w:t>
      </w:r>
      <w:r>
        <w:rPr>
          <w:rFonts w:hint="eastAsia"/>
        </w:rPr>
        <w:t>随着双城协同、赋能成渝一体化就业创业发展，未来成渝双城经济圈对人才的吸引力会进一步上升</w:t>
      </w:r>
      <w:r>
        <w:t>。</w:t>
      </w:r>
    </w:p>
    <w:p>
      <w:r>
        <w:drawing>
          <wp:inline distT="0" distB="0" distL="0" distR="0">
            <wp:extent cx="5162550" cy="2638425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>
      <w:pPr>
        <w:pStyle w:val="25"/>
      </w:pPr>
      <w:bookmarkStart w:id="51" w:name="_Toc91773263"/>
      <w:r>
        <w:rPr>
          <w:rFonts w:hint="eastAsia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7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在成渝</w:t>
      </w:r>
      <w:r>
        <w:t>双城经济圈就业比例</w:t>
      </w:r>
      <w:bookmarkEnd w:id="51"/>
    </w:p>
    <w:p>
      <w:pPr>
        <w:pStyle w:val="3"/>
        <w:numPr>
          <w:ilvl w:val="0"/>
          <w:numId w:val="7"/>
        </w:numPr>
        <w:spacing w:before="156" w:after="156"/>
        <w:rPr>
          <w:sz w:val="24"/>
        </w:rPr>
      </w:pPr>
      <w:bookmarkStart w:id="52" w:name="_Toc91773171"/>
      <w:r>
        <w:rPr>
          <w:sz w:val="24"/>
        </w:rPr>
        <w:t>服务</w:t>
      </w:r>
      <w:r>
        <w:rPr>
          <w:rFonts w:hint="eastAsia"/>
          <w:sz w:val="24"/>
        </w:rPr>
        <w:t>“一带一路”</w:t>
      </w:r>
      <w:r>
        <w:rPr>
          <w:sz w:val="24"/>
        </w:rPr>
        <w:t>发展倡议就业情况</w:t>
      </w:r>
      <w:bookmarkEnd w:id="52"/>
    </w:p>
    <w:p>
      <w:pPr>
        <w:pStyle w:val="28"/>
        <w:ind w:firstLine="480"/>
      </w:pPr>
      <w:r>
        <w:rPr>
          <w:rFonts w:hint="eastAsia"/>
        </w:rPr>
        <w:t>2</w:t>
      </w:r>
      <w:r>
        <w:t>021届毕业生服务</w:t>
      </w:r>
      <w:r>
        <w:rPr>
          <w:rFonts w:hint="eastAsia"/>
        </w:rPr>
        <w:t>“</w:t>
      </w:r>
      <w:r>
        <w:t>一带一路</w:t>
      </w:r>
      <w:r>
        <w:rPr>
          <w:rFonts w:hint="eastAsia"/>
        </w:rPr>
        <w:t>”</w:t>
      </w:r>
      <w:r>
        <w:t>发展倡议（国内）就业比例</w:t>
      </w:r>
      <w:r>
        <w:rPr>
          <w:rStyle w:val="18"/>
        </w:rPr>
        <w:footnoteReference w:id="10"/>
      </w:r>
      <w:r>
        <w:t>为</w:t>
      </w:r>
      <w:r>
        <w:rPr>
          <w:rFonts w:hint="eastAsia"/>
        </w:rPr>
        <w:t>7</w:t>
      </w:r>
      <w:r>
        <w:t>3.77%。本科毕业生服务</w:t>
      </w:r>
      <w:r>
        <w:rPr>
          <w:rFonts w:hint="eastAsia"/>
        </w:rPr>
        <w:t>“</w:t>
      </w:r>
      <w:r>
        <w:t>一带一路</w:t>
      </w:r>
      <w:r>
        <w:rPr>
          <w:rFonts w:hint="eastAsia"/>
        </w:rPr>
        <w:t>”</w:t>
      </w:r>
      <w:r>
        <w:t>发展倡议（国内）就业比例为81.79%，毕业研究生为</w:t>
      </w:r>
      <w:r>
        <w:rPr>
          <w:rFonts w:hint="eastAsia"/>
        </w:rPr>
        <w:t>5</w:t>
      </w:r>
      <w:r>
        <w:t>2.27%。</w:t>
      </w:r>
      <w:r>
        <w:rPr>
          <w:rFonts w:hint="eastAsia"/>
        </w:rPr>
        <w:t>反映出毕业生</w:t>
      </w:r>
      <w:r>
        <w:t>主动服务国家战略发展的积极性较高。</w:t>
      </w:r>
    </w:p>
    <w:p>
      <w:r>
        <w:drawing>
          <wp:inline distT="0" distB="0" distL="0" distR="0">
            <wp:extent cx="5274310" cy="2743200"/>
            <wp:effectExtent l="0" t="0" r="0" b="0"/>
            <wp:docPr id="219" name="图表 2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>
      <w:pPr>
        <w:pStyle w:val="25"/>
      </w:pPr>
      <w:bookmarkStart w:id="53" w:name="_Toc91773264"/>
      <w:r>
        <w:rPr>
          <w:rFonts w:hint="eastAsia"/>
        </w:rPr>
        <w:t>图</w:t>
      </w:r>
      <w:r>
        <w:rPr>
          <w:rFonts w:ascii="Times New Roman" w:hAnsi="Times New Roman" w:cs="Times New Roman"/>
        </w:rPr>
        <w:t>2</w:t>
      </w:r>
      <w:r>
        <w:rPr>
          <w:rFonts w:hint="eastAsia"/>
        </w:rPr>
        <w:t xml:space="preserve">-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图2- \* ARABIC</w:instrText>
      </w:r>
      <w:r>
        <w:instrText xml:space="preserve"> </w:instrText>
      </w:r>
      <w:r>
        <w:fldChar w:fldCharType="separate"/>
      </w:r>
      <w:r>
        <w:t>8</w:t>
      </w:r>
      <w:r>
        <w:fldChar w:fldCharType="end"/>
      </w:r>
      <w:r>
        <w:t xml:space="preserve"> </w:t>
      </w:r>
      <w:r>
        <w:rPr>
          <w:rFonts w:ascii="Times New Roman" w:hAnsi="Times New Roman" w:cs="Times New Roman"/>
        </w:rPr>
        <w:t>2021</w:t>
      </w:r>
      <w:r>
        <w:t>届毕业生</w:t>
      </w:r>
      <w:r>
        <w:rPr>
          <w:rFonts w:hint="eastAsia"/>
        </w:rPr>
        <w:t>服务“一带一路”发展倡议</w:t>
      </w:r>
      <w:r>
        <w:t>就业比例</w:t>
      </w:r>
      <w:bookmarkEnd w:id="53"/>
    </w:p>
    <w:p>
      <w:pPr>
        <w:rPr>
          <w:lang w:val="en-SG"/>
        </w:rPr>
      </w:pPr>
    </w:p>
    <w:p/>
    <w:p>
      <w:pPr>
        <w:widowControl/>
        <w:jc w:val="left"/>
        <w:rPr>
          <w:sz w:val="24"/>
        </w:rPr>
      </w:pPr>
    </w:p>
    <w:sectPr>
      <w:headerReference r:id="rId6" w:type="default"/>
      <w:footerReference r:id="rId8" w:type="default"/>
      <w:headerReference r:id="rId7" w:type="even"/>
      <w:footerReference r:id="rId9" w:type="even"/>
      <w:pgSz w:w="11906" w:h="16838"/>
      <w:pgMar w:top="1701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4933F72-3FDF-4D88-816D-01DACBDDB41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05889F0-B32A-4A76-948C-D91A5866E11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粗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7A10E07A-B48E-435B-B238-BDF97E644B1C}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  <w:embedRegular r:id="rId4" w:fontKey="{0DA6EB45-D619-41BD-B812-A5884576178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2">
    <w:p>
      <w:r>
        <w:separator/>
      </w:r>
    </w:p>
  </w:footnote>
  <w:footnote w:type="continuationSeparator" w:id="23">
    <w:p>
      <w:r>
        <w:continuationSeparator/>
      </w:r>
    </w:p>
  </w:footnote>
  <w:footnote w:id="0">
    <w:p>
      <w:pPr>
        <w:pStyle w:val="11"/>
      </w:pPr>
      <w:r>
        <w:rPr>
          <w:rStyle w:val="18"/>
        </w:rPr>
        <w:footnoteRef/>
      </w:r>
      <w:r>
        <w:rPr>
          <w:rFonts w:hint="eastAsia"/>
        </w:rPr>
        <w:t xml:space="preserve"> 家庭经济困难学生包括：其他困难学生、脱贫家庭、城乡低保家庭、城镇零就业家庭。</w:t>
      </w:r>
    </w:p>
  </w:footnote>
  <w:footnote w:id="1">
    <w:p>
      <w:pPr>
        <w:pStyle w:val="11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此处仅针对就业类别为签就业协议形式就业、签劳动合同形式就业、其他录用形式就业的毕业生开展分析。</w:t>
      </w:r>
    </w:p>
  </w:footnote>
  <w:footnote w:id="2">
    <w:p>
      <w:pPr>
        <w:pStyle w:val="11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此处仅针对就业类别为签就业协议形式就业、签劳动合同形式就业、其他录用形式就业的毕业生开展分析。</w:t>
      </w:r>
    </w:p>
  </w:footnote>
  <w:footnote w:id="3">
    <w:p>
      <w:pPr>
        <w:pStyle w:val="11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此处仅针对就业类别为签就业协议形式就业、签劳动合同形式就业、其他录用形式就业的毕业生开展分析。</w:t>
      </w:r>
    </w:p>
  </w:footnote>
  <w:footnote w:id="4">
    <w:p>
      <w:pPr>
        <w:pStyle w:val="11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升学率=升学人数/毕业生总数。</w:t>
      </w:r>
    </w:p>
  </w:footnote>
  <w:footnote w:id="5">
    <w:p>
      <w:pPr>
        <w:pStyle w:val="11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出国出境比例=出国出境人数/毕业生总人数。</w:t>
      </w:r>
    </w:p>
  </w:footnote>
  <w:footnote w:id="6">
    <w:p>
      <w:pPr>
        <w:pStyle w:val="11"/>
      </w:pPr>
      <w:r>
        <w:rPr>
          <w:rStyle w:val="18"/>
        </w:rPr>
        <w:footnoteRef/>
      </w:r>
      <w:r>
        <w:rPr>
          <w:rFonts w:hint="eastAsia"/>
        </w:rPr>
        <w:t xml:space="preserve"> 自主创业比例=自主创业人数/毕业生总人数。</w:t>
      </w:r>
    </w:p>
  </w:footnote>
  <w:footnote w:id="7">
    <w:p>
      <w:pPr>
        <w:pStyle w:val="11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基层就业比例=（国家基层项目就业人数+地方基层项目就业人数）/毕业生总人数。</w:t>
      </w:r>
    </w:p>
  </w:footnote>
  <w:footnote w:id="8">
    <w:p>
      <w:pPr>
        <w:pStyle w:val="11"/>
        <w:jc w:val="both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中国西部地区包括重庆市、四川省、陕西省、云南省、贵州省、广西壮族自治区、甘肃省、青海省、宁夏回族自治区、西藏自治区、新疆维吾尔自治区、内蒙古自治区。</w:t>
      </w:r>
    </w:p>
  </w:footnote>
  <w:footnote w:id="9">
    <w:p>
      <w:pPr>
        <w:pStyle w:val="11"/>
        <w:jc w:val="both"/>
      </w:pPr>
      <w:r>
        <w:rPr>
          <w:rStyle w:val="18"/>
        </w:rPr>
        <w:footnoteRef/>
      </w:r>
      <w:r>
        <w:t xml:space="preserve"> </w:t>
      </w:r>
      <w:r>
        <w:rPr>
          <w:rFonts w:hint="eastAsia"/>
        </w:rPr>
        <w:t>根据《成渝地区双城经济圈建设规划纲要》，规划范围包括重庆市的中心城区及万州、涪陵、綦江、大足、黔江、长寿、江津、合川、永川、南川、璧山、铜梁、潼南、荣昌、梁平、丰都、垫江、忠县等27个区（县）以及开州、云阳的部分地区，四川省的成都、自贡、泸州、德阳、绵阳（除平武县、北川县）、遂宁、内江、乐山、南充、眉山、宜宾、广安、达州（除万源市）、雅安（除天全县、宝兴县）、资阳等15个市。</w:t>
      </w:r>
    </w:p>
  </w:footnote>
  <w:footnote w:id="10">
    <w:p>
      <w:pPr>
        <w:pStyle w:val="11"/>
        <w:jc w:val="both"/>
      </w:pPr>
      <w:r>
        <w:rPr>
          <w:rStyle w:val="18"/>
        </w:rPr>
        <w:footnoteRef/>
      </w:r>
      <w:r>
        <w:t xml:space="preserve"> 毕业生服务</w:t>
      </w:r>
      <w:r>
        <w:rPr>
          <w:rFonts w:hint="eastAsia"/>
        </w:rPr>
        <w:t>“一带一路”发展倡议就业比例=毕业生到“一带一路”地区（国内）就业的人数/毕业生总人数。其中“一带一路”地区（国内）包括新疆、重庆、陕西、甘肃、宁夏、青海、内蒙古、黑龙江、吉林、辽宁、广西、云南、西藏、上海、福建、广东、浙江、海南等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  <w:p>
    <w:pPr>
      <w:pStyle w:val="9"/>
      <w:pBdr>
        <w:bottom w:val="none" w:color="auto" w:sz="0" w:space="1"/>
      </w:pBdr>
    </w:pPr>
  </w:p>
  <w:p>
    <w:pPr>
      <w:pStyle w:val="9"/>
      <w:pBdr>
        <w:bottom w:val="none" w:color="auto" w:sz="0" w:space="1"/>
      </w:pBdr>
    </w:pPr>
  </w:p>
  <w:p>
    <w:pPr>
      <w:pStyle w:val="9"/>
      <w:pBdr>
        <w:bottom w:val="none" w:color="auto" w:sz="0" w:space="1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  <w:p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2605C"/>
    <w:multiLevelType w:val="multilevel"/>
    <w:tmpl w:val="0722605C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B2532A"/>
    <w:multiLevelType w:val="multilevel"/>
    <w:tmpl w:val="08B2532A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A92D67"/>
    <w:multiLevelType w:val="multilevel"/>
    <w:tmpl w:val="20A92D67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00789C"/>
    <w:multiLevelType w:val="multilevel"/>
    <w:tmpl w:val="2600789C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16A422E"/>
    <w:multiLevelType w:val="multilevel"/>
    <w:tmpl w:val="416A422E"/>
    <w:lvl w:ilvl="0" w:tentative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F896FC5"/>
    <w:multiLevelType w:val="multilevel"/>
    <w:tmpl w:val="4F896FC5"/>
    <w:lvl w:ilvl="0" w:tentative="0">
      <w:start w:val="1"/>
      <w:numFmt w:val="chineseCountingThousand"/>
      <w:lvlText w:val="(%1)"/>
      <w:lvlJc w:val="left"/>
      <w:pPr>
        <w:ind w:left="420" w:hanging="420"/>
      </w:pPr>
    </w:lvl>
    <w:lvl w:ilvl="1" w:tentative="0">
      <w:start w:val="1"/>
      <w:numFmt w:val="decimal"/>
      <w:lvlText w:val="%2、"/>
      <w:lvlJc w:val="left"/>
      <w:pPr>
        <w:ind w:left="795" w:hanging="375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62075C"/>
    <w:multiLevelType w:val="multilevel"/>
    <w:tmpl w:val="7962075C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evenAndOddHeaders w:val="1"/>
  <w:drawingGridVerticalSpacing w:val="156"/>
  <w:noPunctuationKerning w:val="1"/>
  <w:characterSpacingControl w:val="compressPunctuation"/>
  <w:footnotePr>
    <w:footnote w:id="22"/>
    <w:footnote w:id="23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MxMTM2ZmY1NzE5ZjA5ODc3MmViOTIwY2YzY2Q2YWMifQ=="/>
  </w:docVars>
  <w:rsids>
    <w:rsidRoot w:val="363B7DE2"/>
    <w:rsid w:val="00007E2D"/>
    <w:rsid w:val="00021FB5"/>
    <w:rsid w:val="00025CB0"/>
    <w:rsid w:val="000418FD"/>
    <w:rsid w:val="0006102E"/>
    <w:rsid w:val="000626AF"/>
    <w:rsid w:val="000943F6"/>
    <w:rsid w:val="000B1720"/>
    <w:rsid w:val="000B3E85"/>
    <w:rsid w:val="000B6389"/>
    <w:rsid w:val="000D0A0F"/>
    <w:rsid w:val="0011270A"/>
    <w:rsid w:val="0011439A"/>
    <w:rsid w:val="00114D73"/>
    <w:rsid w:val="001324D8"/>
    <w:rsid w:val="0015324F"/>
    <w:rsid w:val="001548C9"/>
    <w:rsid w:val="00174111"/>
    <w:rsid w:val="00175BCC"/>
    <w:rsid w:val="001853FD"/>
    <w:rsid w:val="00195EC4"/>
    <w:rsid w:val="001D4A24"/>
    <w:rsid w:val="001E04B4"/>
    <w:rsid w:val="001E7255"/>
    <w:rsid w:val="001F3E23"/>
    <w:rsid w:val="0021556F"/>
    <w:rsid w:val="00254B9D"/>
    <w:rsid w:val="00256309"/>
    <w:rsid w:val="002617CB"/>
    <w:rsid w:val="002872CC"/>
    <w:rsid w:val="00290DBB"/>
    <w:rsid w:val="002B002B"/>
    <w:rsid w:val="002D211A"/>
    <w:rsid w:val="002E5EAC"/>
    <w:rsid w:val="002F43F7"/>
    <w:rsid w:val="00311BF2"/>
    <w:rsid w:val="0032025E"/>
    <w:rsid w:val="00326CDF"/>
    <w:rsid w:val="00327DDD"/>
    <w:rsid w:val="00333C1B"/>
    <w:rsid w:val="00343E5E"/>
    <w:rsid w:val="0035089C"/>
    <w:rsid w:val="003640EA"/>
    <w:rsid w:val="00367C1B"/>
    <w:rsid w:val="00370D89"/>
    <w:rsid w:val="00380EF5"/>
    <w:rsid w:val="003A035B"/>
    <w:rsid w:val="003A3CB0"/>
    <w:rsid w:val="003B154F"/>
    <w:rsid w:val="003C3639"/>
    <w:rsid w:val="003D6C18"/>
    <w:rsid w:val="003E4D25"/>
    <w:rsid w:val="00403487"/>
    <w:rsid w:val="0041624C"/>
    <w:rsid w:val="00420D5D"/>
    <w:rsid w:val="004323D4"/>
    <w:rsid w:val="00447E62"/>
    <w:rsid w:val="00460D37"/>
    <w:rsid w:val="004763DA"/>
    <w:rsid w:val="004D05CF"/>
    <w:rsid w:val="004E0126"/>
    <w:rsid w:val="004E0B0C"/>
    <w:rsid w:val="004F16ED"/>
    <w:rsid w:val="004F4551"/>
    <w:rsid w:val="00507A23"/>
    <w:rsid w:val="00510C78"/>
    <w:rsid w:val="005279BC"/>
    <w:rsid w:val="00550D2D"/>
    <w:rsid w:val="00553F33"/>
    <w:rsid w:val="00557247"/>
    <w:rsid w:val="005572FA"/>
    <w:rsid w:val="005650CB"/>
    <w:rsid w:val="00586283"/>
    <w:rsid w:val="005B3386"/>
    <w:rsid w:val="005C640D"/>
    <w:rsid w:val="005D579C"/>
    <w:rsid w:val="005D6841"/>
    <w:rsid w:val="0060007B"/>
    <w:rsid w:val="00601586"/>
    <w:rsid w:val="006039B8"/>
    <w:rsid w:val="00632A1B"/>
    <w:rsid w:val="00632B54"/>
    <w:rsid w:val="006504BB"/>
    <w:rsid w:val="006614E1"/>
    <w:rsid w:val="006A42EF"/>
    <w:rsid w:val="006B790B"/>
    <w:rsid w:val="006C29DE"/>
    <w:rsid w:val="006E4BF6"/>
    <w:rsid w:val="006F237E"/>
    <w:rsid w:val="00704F12"/>
    <w:rsid w:val="00705FA7"/>
    <w:rsid w:val="007268FE"/>
    <w:rsid w:val="007409C7"/>
    <w:rsid w:val="00743F3E"/>
    <w:rsid w:val="0074693D"/>
    <w:rsid w:val="00753061"/>
    <w:rsid w:val="00757EB3"/>
    <w:rsid w:val="00776081"/>
    <w:rsid w:val="00796D9D"/>
    <w:rsid w:val="007D5150"/>
    <w:rsid w:val="007E1B8E"/>
    <w:rsid w:val="0080289D"/>
    <w:rsid w:val="00813B5A"/>
    <w:rsid w:val="008227DB"/>
    <w:rsid w:val="00853F91"/>
    <w:rsid w:val="00883214"/>
    <w:rsid w:val="008A1AC1"/>
    <w:rsid w:val="008A6E44"/>
    <w:rsid w:val="008B2B05"/>
    <w:rsid w:val="008C77EF"/>
    <w:rsid w:val="008D3466"/>
    <w:rsid w:val="00913029"/>
    <w:rsid w:val="00952350"/>
    <w:rsid w:val="00964AFF"/>
    <w:rsid w:val="009C5FD4"/>
    <w:rsid w:val="009D355B"/>
    <w:rsid w:val="00A11C28"/>
    <w:rsid w:val="00A1735C"/>
    <w:rsid w:val="00A9259F"/>
    <w:rsid w:val="00AB1981"/>
    <w:rsid w:val="00AC7253"/>
    <w:rsid w:val="00AE546F"/>
    <w:rsid w:val="00B10CE0"/>
    <w:rsid w:val="00B14716"/>
    <w:rsid w:val="00B219B2"/>
    <w:rsid w:val="00B3664B"/>
    <w:rsid w:val="00B53543"/>
    <w:rsid w:val="00B54DA6"/>
    <w:rsid w:val="00B94396"/>
    <w:rsid w:val="00B9676F"/>
    <w:rsid w:val="00B96D5D"/>
    <w:rsid w:val="00BB20E7"/>
    <w:rsid w:val="00BB2595"/>
    <w:rsid w:val="00BD1330"/>
    <w:rsid w:val="00BD1F72"/>
    <w:rsid w:val="00BE28F5"/>
    <w:rsid w:val="00BE68A1"/>
    <w:rsid w:val="00C22D59"/>
    <w:rsid w:val="00C2615B"/>
    <w:rsid w:val="00C5252C"/>
    <w:rsid w:val="00C95433"/>
    <w:rsid w:val="00CC7A0E"/>
    <w:rsid w:val="00CD28F3"/>
    <w:rsid w:val="00CD6738"/>
    <w:rsid w:val="00CE20B0"/>
    <w:rsid w:val="00CE43B4"/>
    <w:rsid w:val="00D03861"/>
    <w:rsid w:val="00D52013"/>
    <w:rsid w:val="00DA7DFC"/>
    <w:rsid w:val="00DB0B24"/>
    <w:rsid w:val="00DB4B55"/>
    <w:rsid w:val="00DD23DB"/>
    <w:rsid w:val="00DE3E70"/>
    <w:rsid w:val="00DF6A20"/>
    <w:rsid w:val="00E0641C"/>
    <w:rsid w:val="00E13110"/>
    <w:rsid w:val="00E21A56"/>
    <w:rsid w:val="00E253D4"/>
    <w:rsid w:val="00E33821"/>
    <w:rsid w:val="00E43E33"/>
    <w:rsid w:val="00E43EFA"/>
    <w:rsid w:val="00E65ADD"/>
    <w:rsid w:val="00E66B8E"/>
    <w:rsid w:val="00E8218D"/>
    <w:rsid w:val="00E86D93"/>
    <w:rsid w:val="00EC29B9"/>
    <w:rsid w:val="00EE15AF"/>
    <w:rsid w:val="00F11B24"/>
    <w:rsid w:val="00F27179"/>
    <w:rsid w:val="00F3276B"/>
    <w:rsid w:val="00FA4F72"/>
    <w:rsid w:val="00FD19F4"/>
    <w:rsid w:val="00FD528E"/>
    <w:rsid w:val="00FF0039"/>
    <w:rsid w:val="01137264"/>
    <w:rsid w:val="01336F95"/>
    <w:rsid w:val="04D57FF5"/>
    <w:rsid w:val="05E1374C"/>
    <w:rsid w:val="073F20DE"/>
    <w:rsid w:val="075E13F2"/>
    <w:rsid w:val="09A82C7A"/>
    <w:rsid w:val="0AD63339"/>
    <w:rsid w:val="0B0E01BB"/>
    <w:rsid w:val="0B377008"/>
    <w:rsid w:val="0B40365E"/>
    <w:rsid w:val="0C6D1FDE"/>
    <w:rsid w:val="0E1A5BA6"/>
    <w:rsid w:val="12496EC0"/>
    <w:rsid w:val="128D00FD"/>
    <w:rsid w:val="163076BA"/>
    <w:rsid w:val="1642483A"/>
    <w:rsid w:val="18442084"/>
    <w:rsid w:val="1A966FBD"/>
    <w:rsid w:val="1BDD3F16"/>
    <w:rsid w:val="200D0E91"/>
    <w:rsid w:val="244F30A5"/>
    <w:rsid w:val="24A00BE0"/>
    <w:rsid w:val="289D6E59"/>
    <w:rsid w:val="2952432E"/>
    <w:rsid w:val="29A6399A"/>
    <w:rsid w:val="2BFB19F0"/>
    <w:rsid w:val="2D2F7C78"/>
    <w:rsid w:val="2F9D4466"/>
    <w:rsid w:val="301A7802"/>
    <w:rsid w:val="3137559D"/>
    <w:rsid w:val="31457242"/>
    <w:rsid w:val="32FB6228"/>
    <w:rsid w:val="363B7DE2"/>
    <w:rsid w:val="374404C5"/>
    <w:rsid w:val="392C7305"/>
    <w:rsid w:val="39C1586A"/>
    <w:rsid w:val="3BDC424A"/>
    <w:rsid w:val="3EF06525"/>
    <w:rsid w:val="417C2015"/>
    <w:rsid w:val="417D34DB"/>
    <w:rsid w:val="41F1362D"/>
    <w:rsid w:val="42C51395"/>
    <w:rsid w:val="47101255"/>
    <w:rsid w:val="47EB6C49"/>
    <w:rsid w:val="488278A3"/>
    <w:rsid w:val="4A3467ED"/>
    <w:rsid w:val="4DAD03D4"/>
    <w:rsid w:val="4DC826A4"/>
    <w:rsid w:val="506202D5"/>
    <w:rsid w:val="5070485E"/>
    <w:rsid w:val="517308C3"/>
    <w:rsid w:val="52150B25"/>
    <w:rsid w:val="523320A0"/>
    <w:rsid w:val="532F15BF"/>
    <w:rsid w:val="537E33FE"/>
    <w:rsid w:val="55E905B1"/>
    <w:rsid w:val="56460C90"/>
    <w:rsid w:val="569F3C68"/>
    <w:rsid w:val="57772AF0"/>
    <w:rsid w:val="583A7E71"/>
    <w:rsid w:val="5A0B14EC"/>
    <w:rsid w:val="5A9C161D"/>
    <w:rsid w:val="5B05277D"/>
    <w:rsid w:val="5D0F4289"/>
    <w:rsid w:val="60F80248"/>
    <w:rsid w:val="61EC494B"/>
    <w:rsid w:val="64BC497A"/>
    <w:rsid w:val="652543F7"/>
    <w:rsid w:val="66E876DF"/>
    <w:rsid w:val="66FB683C"/>
    <w:rsid w:val="68985147"/>
    <w:rsid w:val="69500B20"/>
    <w:rsid w:val="69980D9D"/>
    <w:rsid w:val="6BA1045F"/>
    <w:rsid w:val="6C4453D3"/>
    <w:rsid w:val="6D96293E"/>
    <w:rsid w:val="6DE265AD"/>
    <w:rsid w:val="6E533859"/>
    <w:rsid w:val="6F76619A"/>
    <w:rsid w:val="6FAC7494"/>
    <w:rsid w:val="70986C8E"/>
    <w:rsid w:val="70DB1EBF"/>
    <w:rsid w:val="71872EF4"/>
    <w:rsid w:val="72013F2D"/>
    <w:rsid w:val="760B564A"/>
    <w:rsid w:val="772D73C3"/>
    <w:rsid w:val="775D5855"/>
    <w:rsid w:val="77941422"/>
    <w:rsid w:val="783B0801"/>
    <w:rsid w:val="78FA3296"/>
    <w:rsid w:val="7B5A2AAD"/>
    <w:rsid w:val="7E41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50" w:beforeLines="50" w:after="50" w:afterLines="50" w:line="360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5">
    <w:name w:val="Document Map"/>
    <w:basedOn w:val="1"/>
    <w:link w:val="24"/>
    <w:uiPriority w:val="0"/>
    <w:rPr>
      <w:rFonts w:ascii="宋体"/>
      <w:sz w:val="18"/>
      <w:szCs w:val="18"/>
    </w:r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alloon Text"/>
    <w:basedOn w:val="1"/>
    <w:link w:val="22"/>
    <w:qFormat/>
    <w:uiPriority w:val="0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0"/>
  </w:style>
  <w:style w:type="paragraph" w:styleId="11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2">
    <w:name w:val="toc 2"/>
    <w:basedOn w:val="1"/>
    <w:next w:val="1"/>
    <w:qFormat/>
    <w:uiPriority w:val="0"/>
    <w:pPr>
      <w:ind w:left="420" w:leftChars="200"/>
    </w:pPr>
  </w:style>
  <w:style w:type="character" w:styleId="15">
    <w:name w:val="FollowedHyperlink"/>
    <w:basedOn w:val="14"/>
    <w:qFormat/>
    <w:uiPriority w:val="0"/>
    <w:rPr>
      <w:color w:val="800080"/>
      <w:u w:val="none"/>
    </w:rPr>
  </w:style>
  <w:style w:type="character" w:styleId="16">
    <w:name w:val="Hyperlink"/>
    <w:basedOn w:val="14"/>
    <w:qFormat/>
    <w:uiPriority w:val="0"/>
    <w:rPr>
      <w:color w:val="0000FF"/>
      <w:u w:val="none"/>
    </w:rPr>
  </w:style>
  <w:style w:type="character" w:styleId="17">
    <w:name w:val="annotation reference"/>
    <w:basedOn w:val="14"/>
    <w:qFormat/>
    <w:uiPriority w:val="0"/>
    <w:rPr>
      <w:sz w:val="21"/>
      <w:szCs w:val="21"/>
    </w:rPr>
  </w:style>
  <w:style w:type="character" w:styleId="18">
    <w:name w:val="footnote reference"/>
    <w:basedOn w:val="14"/>
    <w:unhideWhenUsed/>
    <w:qFormat/>
    <w:uiPriority w:val="99"/>
    <w:rPr>
      <w:vertAlign w:val="superscript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character" w:customStyle="1" w:styleId="20">
    <w:name w:val="页眉 Char"/>
    <w:basedOn w:val="14"/>
    <w:link w:val="9"/>
    <w:qFormat/>
    <w:uiPriority w:val="0"/>
    <w:rPr>
      <w:kern w:val="2"/>
      <w:sz w:val="18"/>
      <w:szCs w:val="18"/>
    </w:rPr>
  </w:style>
  <w:style w:type="character" w:customStyle="1" w:styleId="21">
    <w:name w:val="页脚 Char"/>
    <w:basedOn w:val="14"/>
    <w:link w:val="8"/>
    <w:qFormat/>
    <w:uiPriority w:val="99"/>
    <w:rPr>
      <w:kern w:val="2"/>
      <w:sz w:val="18"/>
      <w:szCs w:val="18"/>
    </w:rPr>
  </w:style>
  <w:style w:type="character" w:customStyle="1" w:styleId="22">
    <w:name w:val="批注框文本 Char"/>
    <w:basedOn w:val="14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3">
    <w:name w:val="列出段落1"/>
    <w:basedOn w:val="1"/>
    <w:qFormat/>
    <w:uiPriority w:val="99"/>
    <w:pPr>
      <w:ind w:firstLine="420" w:firstLineChars="200"/>
    </w:pPr>
  </w:style>
  <w:style w:type="character" w:customStyle="1" w:styleId="24">
    <w:name w:val="文档结构图 Char"/>
    <w:basedOn w:val="14"/>
    <w:link w:val="5"/>
    <w:qFormat/>
    <w:uiPriority w:val="0"/>
    <w:rPr>
      <w:rFonts w:ascii="宋体"/>
      <w:kern w:val="2"/>
      <w:sz w:val="18"/>
      <w:szCs w:val="18"/>
    </w:rPr>
  </w:style>
  <w:style w:type="paragraph" w:customStyle="1" w:styleId="25">
    <w:name w:val="图表标题"/>
    <w:basedOn w:val="4"/>
    <w:qFormat/>
    <w:uiPriority w:val="0"/>
    <w:pPr>
      <w:jc w:val="center"/>
    </w:pPr>
    <w:rPr>
      <w:b/>
    </w:rPr>
  </w:style>
  <w:style w:type="table" w:customStyle="1" w:styleId="26">
    <w:name w:val="网格表 5 深色 - 着色 51"/>
    <w:basedOn w:val="13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5"/>
      </w:tcPr>
    </w:tblStylePr>
    <w:tblStylePr w:type="band1Vert">
      <w:tcPr>
        <w:shd w:val="clear" w:color="auto" w:fill="B4C6E7" w:themeFill="accent5" w:themeFillTint="66"/>
      </w:tcPr>
    </w:tblStylePr>
    <w:tblStylePr w:type="band1Horz">
      <w:tcPr>
        <w:shd w:val="clear" w:color="auto" w:fill="B4C6E7" w:themeFill="accent5" w:themeFillTint="66"/>
      </w:tcPr>
    </w:tblStylePr>
  </w:style>
  <w:style w:type="paragraph" w:customStyle="1" w:styleId="27">
    <w:name w:val="新建图表标题"/>
    <w:basedOn w:val="1"/>
    <w:qFormat/>
    <w:uiPriority w:val="0"/>
    <w:pPr>
      <w:spacing w:line="360" w:lineRule="auto"/>
      <w:jc w:val="center"/>
    </w:pPr>
    <w:rPr>
      <w:rFonts w:ascii="Times New Roman" w:hAnsi="Times New Roman" w:eastAsia="宋体" w:cs="Times New Roman"/>
      <w:b/>
      <w:sz w:val="18"/>
      <w:szCs w:val="24"/>
    </w:rPr>
  </w:style>
  <w:style w:type="paragraph" w:customStyle="1" w:styleId="28">
    <w:name w:val="正文-新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</w:rPr>
  </w:style>
  <w:style w:type="table" w:customStyle="1" w:styleId="29">
    <w:name w:val="网格表 4 - 着色 51"/>
    <w:basedOn w:val="13"/>
    <w:qFormat/>
    <w:uiPriority w:val="49"/>
    <w:tblPr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5" w:themeFillTint="33"/>
      </w:tcPr>
    </w:tblStylePr>
    <w:tblStylePr w:type="band1Horz">
      <w:tcPr>
        <w:shd w:val="clear" w:color="auto" w:fill="D9E2F3" w:themeFill="accent5" w:themeFillTint="33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hart" Target="charts/chart9.xml"/><Relationship Id="rId18" Type="http://schemas.openxmlformats.org/officeDocument/2006/relationships/chart" Target="charts/chart8.xml"/><Relationship Id="rId17" Type="http://schemas.openxmlformats.org/officeDocument/2006/relationships/chart" Target="charts/chart7.xml"/><Relationship Id="rId16" Type="http://schemas.openxmlformats.org/officeDocument/2006/relationships/chart" Target="charts/chart6.xml"/><Relationship Id="rId15" Type="http://schemas.openxmlformats.org/officeDocument/2006/relationships/chart" Target="charts/chart5.xml"/><Relationship Id="rId14" Type="http://schemas.openxmlformats.org/officeDocument/2006/relationships/chart" Target="charts/chart4.xml"/><Relationship Id="rId13" Type="http://schemas.openxmlformats.org/officeDocument/2006/relationships/chart" Target="charts/chart3.xml"/><Relationship Id="rId12" Type="http://schemas.openxmlformats.org/officeDocument/2006/relationships/chart" Target="charts/chart2.xml"/><Relationship Id="rId11" Type="http://schemas.openxmlformats.org/officeDocument/2006/relationships/chart" Target="charts/chart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8.xml"/><Relationship Id="rId2" Type="http://schemas.microsoft.com/office/2011/relationships/chartStyle" Target="style8.xml"/><Relationship Id="rId1" Type="http://schemas.openxmlformats.org/officeDocument/2006/relationships/package" Target="../embeddings/Workbook8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9.xml"/><Relationship Id="rId2" Type="http://schemas.microsoft.com/office/2011/relationships/chartStyle" Target="style9.xml"/><Relationship Id="rId1" Type="http://schemas.openxmlformats.org/officeDocument/2006/relationships/package" Target="../embeddings/Workbook9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6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_rels/chart7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package" Target="../embeddings/Workbook5.xlsx"/></Relationships>
</file>

<file path=word/charts/_rels/chart8.xml.rels><?xml version="1.0" encoding="UTF-8" standalone="yes"?>
<Relationships xmlns="http://schemas.openxmlformats.org/package/2006/relationships"><Relationship Id="rId4" Type="http://schemas.microsoft.com/office/2011/relationships/chartColorStyle" Target="colors6.xml"/><Relationship Id="rId3" Type="http://schemas.microsoft.com/office/2011/relationships/chartStyle" Target="style6.xml"/><Relationship Id="rId2" Type="http://schemas.openxmlformats.org/officeDocument/2006/relationships/image" Target="../media/image1.png"/><Relationship Id="rId1" Type="http://schemas.openxmlformats.org/officeDocument/2006/relationships/package" Target="../embeddings/Workbook6.xlsx"/></Relationships>
</file>

<file path=word/charts/_rels/chart9.xml.rels><?xml version="1.0" encoding="UTF-8" standalone="yes"?>
<Relationships xmlns="http://schemas.openxmlformats.org/package/2006/relationships"><Relationship Id="rId3" Type="http://schemas.microsoft.com/office/2011/relationships/chartColorStyle" Target="colors7.xml"/><Relationship Id="rId2" Type="http://schemas.microsoft.com/office/2011/relationships/chartStyle" Target="style7.xml"/><Relationship Id="rId1" Type="http://schemas.openxmlformats.org/officeDocument/2006/relationships/package" Target="../embeddings/Workbook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30026486876956"/>
                  <c:y val="0.061919504643962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2275a0dc-55bd-4d53-a502-3401d9d4119e}" type="CELLRANGE">
                      <a:t>[CELLRANGE]</a:t>
                    </a:fld>
                    <a:r>
                      <a:t>,</a:t>
                    </a:r>
                    <a:fld id="{998c92c1-9aeb-4fd9-9c3c-c542f9d05ff0}" type="VALUE">
                      <a:t>[VALUE]</a:t>
                    </a:fld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-0.130026486876956"/>
                  <c:y val="-0.090815273477812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59d79f53-87c2-4b8f-b785-a72a380c257f}" type="CELLRANGE">
                      <a:t>[CELLRANGE]</a:t>
                    </a:fld>
                    <a:r>
                      <a:t>,</a:t>
                    </a:r>
                    <a:fld id="{a7781486-145c-4a94-bb02-05637fba81ac}" type="VALUE">
                      <a:t>[VALUE]</a:t>
                    </a:fld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本科毕业生</c:v>
                </c:pt>
                <c:pt idx="1">
                  <c:v>毕业研究生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0.8263</c:v>
                </c:pt>
                <c:pt idx="1">
                  <c:v>0.1737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Sheet1!$A$2:$A$3</c15:f>
                <c15:dlblRangeCache>
                  <c:ptCount val="2"/>
                  <c:pt idx="0">
                    <c:v>本科毕业生</c:v>
                  </c:pt>
                  <c:pt idx="1">
                    <c:v>毕业研究生</c:v>
                  </c:pt>
                </c15:dlblRangeCache>
              </c15:datalabelsRange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9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本科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2019届</c:v>
                </c:pt>
                <c:pt idx="1">
                  <c:v>2020届</c:v>
                </c:pt>
                <c:pt idx="2">
                  <c:v>2021届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0.106694560669456</c:v>
                </c:pt>
                <c:pt idx="1">
                  <c:v>0.126145387904704</c:v>
                </c:pt>
                <c:pt idx="2">
                  <c:v>0.1479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14"/>
        <c:overlap val="29"/>
        <c:axId val="-938268080"/>
        <c:axId val="-938272432"/>
      </c:barChart>
      <c:catAx>
        <c:axId val="-938268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72432"/>
        <c:crosses val="autoZero"/>
        <c:auto val="1"/>
        <c:lblAlgn val="ctr"/>
        <c:lblOffset val="100"/>
        <c:noMultiLvlLbl val="0"/>
      </c:catAx>
      <c:valAx>
        <c:axId val="-938272432"/>
        <c:scaling>
          <c:orientation val="minMax"/>
        </c:scaling>
        <c:delete val="0"/>
        <c:axPos val="l"/>
        <c:numFmt formatCode="0%" sourceLinked="0"/>
        <c:majorTickMark val="in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68080"/>
        <c:crosses val="autoZero"/>
        <c:crossBetween val="between"/>
        <c:majorUnit val="0.0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本科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2019届</c:v>
                </c:pt>
                <c:pt idx="1">
                  <c:v>2020届</c:v>
                </c:pt>
                <c:pt idx="2">
                  <c:v>2021届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0.124</c:v>
                </c:pt>
                <c:pt idx="1">
                  <c:v>0.1161</c:v>
                </c:pt>
                <c:pt idx="2">
                  <c:v>0.0746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14"/>
        <c:overlap val="29"/>
        <c:axId val="-938279504"/>
        <c:axId val="-938266992"/>
      </c:barChart>
      <c:catAx>
        <c:axId val="-938279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66992"/>
        <c:crosses val="autoZero"/>
        <c:auto val="1"/>
        <c:lblAlgn val="ctr"/>
        <c:lblOffset val="100"/>
        <c:noMultiLvlLbl val="0"/>
      </c:catAx>
      <c:valAx>
        <c:axId val="-938266992"/>
        <c:scaling>
          <c:orientation val="minMax"/>
        </c:scaling>
        <c:delete val="0"/>
        <c:axPos val="l"/>
        <c:numFmt formatCode="0%" sourceLinked="0"/>
        <c:majorTickMark val="in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79504"/>
        <c:crosses val="autoZero"/>
        <c:crossBetween val="between"/>
        <c:majorUnit val="0.0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本科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rgbClr val="0070C0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2019届</c:v>
                </c:pt>
                <c:pt idx="1">
                  <c:v>2020届</c:v>
                </c:pt>
                <c:pt idx="2">
                  <c:v>2021届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0.0891</c:v>
                </c:pt>
                <c:pt idx="1">
                  <c:v>0.049</c:v>
                </c:pt>
                <c:pt idx="2">
                  <c:v>0.01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14"/>
        <c:overlap val="29"/>
        <c:axId val="-938275152"/>
        <c:axId val="-938266448"/>
      </c:barChart>
      <c:catAx>
        <c:axId val="-938275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66448"/>
        <c:crosses val="autoZero"/>
        <c:auto val="1"/>
        <c:lblAlgn val="ctr"/>
        <c:lblOffset val="100"/>
        <c:noMultiLvlLbl val="0"/>
      </c:catAx>
      <c:valAx>
        <c:axId val="-938266448"/>
        <c:scaling>
          <c:orientation val="minMax"/>
        </c:scaling>
        <c:delete val="0"/>
        <c:axPos val="l"/>
        <c:numFmt formatCode="0%" sourceLinked="0"/>
        <c:majorTickMark val="in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75152"/>
        <c:crosses val="autoZero"/>
        <c:crossBetween val="between"/>
        <c:majorUnit val="0.0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rgbClr val="0070C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127623139330074"/>
                  <c:y val="-0.29410497062480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26de2c33-1c01-493b-b9d6-977c56315281}" type="CELLRANGE">
                      <a:t>[CELLRANGE]</a:t>
                    </a:fld>
                    <a:r>
                      <a:t>,</a:t>
                    </a:r>
                    <a:fld id="{00cbd676-060d-43f2-825a-abc494f63a2f}" type="VALUE">
                      <a:t>[VALUE]</a:t>
                    </a:fld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1"/>
              <c:layout>
                <c:manualLayout>
                  <c:x val="-0.0168314907542408"/>
                  <c:y val="0.0082621096511542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0e2f78c0-2531-44ec-888b-236ca2c3a523}" type="CELLRANGE">
                      <a:t>[CELLRANGE]</a:t>
                    </a:fld>
                    <a:r>
                      <a:t>,</a:t>
                    </a:r>
                    <a:fld id="{42771260-d553-4d9a-a1d4-2b8bdee8ffe2}" type="VALUE">
                      <a:t>[VALUE]</a:t>
                    </a:fld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dLbl>
              <c:idx val="2"/>
              <c:layout>
                <c:manualLayout>
                  <c:x val="0.0695252080366911"/>
                  <c:y val="-0.0015858543997789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/>
                  <a:lstStyle/>
                  <a:p>
                    <a:fld id="{24618396-1ece-402e-91d6-5cacc70b17f9}" type="CELLRANGE">
                      <a:t>[CELLRANGE]</a:t>
                    </a:fld>
                    <a:r>
                      <a:t>,</a:t>
                    </a:r>
                    <a:fld id="{0255b2ad-9410-4099-a39b-50b9eb851e67}" type="VALUE">
                      <a:t>[VALUE]</a:t>
                    </a:fld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志愿服务西部计划</c:v>
                </c:pt>
                <c:pt idx="1">
                  <c:v>选调生</c:v>
                </c:pt>
                <c:pt idx="2">
                  <c:v>三支一扶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0.8917</c:v>
                </c:pt>
                <c:pt idx="1">
                  <c:v>0.0833</c:v>
                </c:pt>
                <c:pt idx="2">
                  <c:v>0.025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Sheet1!$A$2:$A$4</c15:f>
                <c15:dlblRangeCache>
                  <c:ptCount val="3"/>
                  <c:pt idx="0">
                    <c:v>志愿服务西部计划</c:v>
                  </c:pt>
                  <c:pt idx="1">
                    <c:v>选调生</c:v>
                  </c:pt>
                  <c:pt idx="2">
                    <c:v>三支一扶</c:v>
                  </c:pt>
                </c15:dlblRangeCache>
              </c15:datalabelsRange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本科生</c:v>
                </c:pt>
              </c:strCache>
            </c:strRef>
          </c:tx>
          <c:spPr>
            <a:ln w="28575" cap="rnd">
              <a:solidFill>
                <a:srgbClr val="0070C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70C0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2019届</c:v>
                </c:pt>
                <c:pt idx="1">
                  <c:v>2020届</c:v>
                </c:pt>
                <c:pt idx="2">
                  <c:v>2021届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0.0054</c:v>
                </c:pt>
                <c:pt idx="1">
                  <c:v>0.0189</c:v>
                </c:pt>
                <c:pt idx="2">
                  <c:v>0.0329</c:v>
                </c:pt>
              </c:numCache>
            </c:numRef>
          </c:val>
          <c:smooth val="1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1"/>
        <c:axId val="-938281136"/>
        <c:axId val="-938274608"/>
      </c:lineChart>
      <c:catAx>
        <c:axId val="-9382811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74608"/>
        <c:crosses val="autoZero"/>
        <c:auto val="1"/>
        <c:lblAlgn val="ctr"/>
        <c:lblOffset val="100"/>
        <c:noMultiLvlLbl val="0"/>
      </c:catAx>
      <c:valAx>
        <c:axId val="-938274608"/>
        <c:scaling>
          <c:orientation val="minMax"/>
          <c:max val="0.1"/>
        </c:scaling>
        <c:delete val="0"/>
        <c:axPos val="l"/>
        <c:numFmt formatCode="0%" sourceLinked="0"/>
        <c:majorTickMark val="in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81136"/>
        <c:crosses val="autoZero"/>
        <c:crossBetween val="between"/>
        <c:majorUnit val="0.0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841901594710967"/>
          <c:y val="0.0728160436256148"/>
          <c:w val="0.889322963572486"/>
          <c:h val="0.8239985050412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本科生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西部</c:v>
                </c:pt>
                <c:pt idx="1">
                  <c:v>东部</c:v>
                </c:pt>
                <c:pt idx="2">
                  <c:v>中部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0.6328</c:v>
                </c:pt>
                <c:pt idx="1">
                  <c:v>0.3408</c:v>
                </c:pt>
                <c:pt idx="2">
                  <c:v>0.0264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研究生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西部</c:v>
                </c:pt>
                <c:pt idx="1">
                  <c:v>东部</c:v>
                </c:pt>
                <c:pt idx="2">
                  <c:v>中部</c:v>
                </c:pt>
              </c:strCache>
            </c:strRef>
          </c:cat>
          <c:val>
            <c:numRef>
              <c:f>Sheet1!$C$2:$C$4</c:f>
              <c:numCache>
                <c:formatCode>0.00%</c:formatCode>
                <c:ptCount val="3"/>
                <c:pt idx="0">
                  <c:v>0.6124</c:v>
                </c:pt>
                <c:pt idx="1">
                  <c:v>0.2907</c:v>
                </c:pt>
                <c:pt idx="2">
                  <c:v>0.0969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-938274064"/>
        <c:axId val="-699750144"/>
      </c:barChart>
      <c:catAx>
        <c:axId val="-9382740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699750144"/>
        <c:crosses val="autoZero"/>
        <c:auto val="1"/>
        <c:lblAlgn val="ctr"/>
        <c:lblOffset val="100"/>
        <c:noMultiLvlLbl val="0"/>
      </c:catAx>
      <c:valAx>
        <c:axId val="-699750144"/>
        <c:scaling>
          <c:orientation val="minMax"/>
          <c:max val="1"/>
        </c:scaling>
        <c:delete val="0"/>
        <c:axPos val="l"/>
        <c:numFmt formatCode="0%" sourceLinked="0"/>
        <c:majorTickMark val="in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93827406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391009250499117"/>
          <c:y val="0.0128387120624007"/>
          <c:w val="0.213165513593247"/>
          <c:h val="0.07281604362561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>
            <a:blipFill>
              <a:blip xmlns:r="http://schemas.openxmlformats.org/officeDocument/2006/relationships" r:embed="rId2"/>
              <a:stretch>
                <a:fillRect/>
              </a:stretch>
            </a:blipFill>
            <a:ln>
              <a:noFill/>
            </a:ln>
            <a:effectLst/>
          </c:spPr>
          <c:invertIfNegative val="0"/>
          <c:pictureOptions>
            <c:pictureFormat val="stack"/>
          </c:pictureOptions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大重庆范围</c:v>
                </c:pt>
                <c:pt idx="1">
                  <c:v>成都及其周边地区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0.462524654832347</c:v>
                </c:pt>
                <c:pt idx="1">
                  <c:v>0.110453648915187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8"/>
        <c:axId val="-699744704"/>
        <c:axId val="-699748512"/>
      </c:barChart>
      <c:catAx>
        <c:axId val="-6997447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699748512"/>
        <c:crosses val="autoZero"/>
        <c:auto val="1"/>
        <c:lblAlgn val="ctr"/>
        <c:lblOffset val="100"/>
        <c:noMultiLvlLbl val="0"/>
      </c:catAx>
      <c:valAx>
        <c:axId val="-699748512"/>
        <c:scaling>
          <c:orientation val="minMax"/>
        </c:scaling>
        <c:delete val="1"/>
        <c:axPos val="t"/>
        <c:numFmt formatCode="0.0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6997447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本科生</c:v>
                </c:pt>
                <c:pt idx="1">
                  <c:v>研究生</c:v>
                </c:pt>
                <c:pt idx="2">
                  <c:v>总体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0.8179</c:v>
                </c:pt>
                <c:pt idx="1">
                  <c:v>0.5227</c:v>
                </c:pt>
                <c:pt idx="2">
                  <c:v>0.7377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89"/>
        <c:overlap val="-27"/>
        <c:axId val="-699741984"/>
        <c:axId val="-699728384"/>
      </c:barChart>
      <c:catAx>
        <c:axId val="-699741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699728384"/>
        <c:crosses val="autoZero"/>
        <c:auto val="1"/>
        <c:lblAlgn val="ctr"/>
        <c:lblOffset val="100"/>
        <c:noMultiLvlLbl val="0"/>
      </c:catAx>
      <c:valAx>
        <c:axId val="-699728384"/>
        <c:scaling>
          <c:orientation val="minMax"/>
        </c:scaling>
        <c:delete val="0"/>
        <c:axPos val="l"/>
        <c:numFmt formatCode="0%" sourceLinked="0"/>
        <c:majorTickMark val="in"/>
        <c:minorTickMark val="none"/>
        <c:tickLblPos val="nextTo"/>
        <c:spPr>
          <a:noFill/>
          <a:ln>
            <a:solidFill>
              <a:schemeClr val="bg1">
                <a:lumMod val="7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-699741984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69BE6-90FA-4609-ABF4-D8220A758A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2612</Words>
  <Characters>3012</Characters>
  <Lines>23</Lines>
  <Paragraphs>6</Paragraphs>
  <TotalTime>2</TotalTime>
  <ScaleCrop>false</ScaleCrop>
  <LinksUpToDate>false</LinksUpToDate>
  <CharactersWithSpaces>3036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2020-12-15T04:46:00Z</dcterms:created>
  <dc:creator>WTT</dc:creator>
  <cp:lastModifiedBy>siiiiiiii</cp:lastModifiedBy>
  <dcterms:modified xsi:type="dcterms:W3CDTF">2022-11-12T06:33:41Z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KSOSaveFontToCloudKey">
    <vt:lpwstr>511233033_btnclosed</vt:lpwstr>
  </property>
  <property fmtid="{D5CDD505-2E9C-101B-9397-08002B2CF9AE}" pid="4" name="ICV">
    <vt:lpwstr>C4E2869C76B147519D870B0B15DD4B69</vt:lpwstr>
  </property>
</Properties>
</file>